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8C" w:rsidRPr="00066B8C" w:rsidRDefault="00066B8C" w:rsidP="00066B8C">
      <w:pPr>
        <w:shd w:val="clear" w:color="auto" w:fill="FFFFFF"/>
        <w:spacing w:after="675" w:line="5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 xml:space="preserve">В Тогучинском районе Новосибирской области объявляется районный конкурс </w:t>
      </w:r>
      <w:r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>"Лучший проект ТОС - 2024</w:t>
      </w:r>
      <w:r w:rsidRPr="00066B8C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>"</w:t>
      </w:r>
    </w:p>
    <w:p w:rsidR="00066B8C" w:rsidRPr="00066B8C" w:rsidRDefault="00066B8C" w:rsidP="00066B8C">
      <w:pPr>
        <w:shd w:val="clear" w:color="auto" w:fill="FFFFFF"/>
        <w:spacing w:after="100" w:afterAutospacing="1" w:line="450" w:lineRule="atLeast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ОБЪЯВЛЕНИЕ</w:t>
      </w:r>
    </w:p>
    <w:p w:rsidR="00066B8C" w:rsidRPr="00066B8C" w:rsidRDefault="00066B8C" w:rsidP="00066B8C">
      <w:pPr>
        <w:shd w:val="clear" w:color="auto" w:fill="FFFFFF"/>
        <w:spacing w:after="100" w:afterAutospacing="1" w:line="450" w:lineRule="atLeast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проведении районного конкурса «Лучший проект ТОС-2024</w:t>
      </w:r>
      <w:r w:rsidRPr="00066B8C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» в соответствии с распоряжением администрации Тогучинского района Новосибирской области от </w:t>
      </w:r>
      <w:r w:rsidR="00B941EF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16.05.2024 № 263/Р/93</w:t>
      </w:r>
    </w:p>
    <w:p w:rsidR="00066B8C" w:rsidRPr="00066B8C" w:rsidRDefault="00066B8C" w:rsidP="003853A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Сроки проведения конкурсног</w:t>
      </w:r>
      <w:r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 отбора «Лучший проект ТОС-2024</w:t>
      </w:r>
      <w:r w:rsidRPr="00066B8C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» </w:t>
      </w: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(далее – конкурс)</w:t>
      </w:r>
    </w:p>
    <w:p w:rsidR="00066B8C" w:rsidRPr="00066B8C" w:rsidRDefault="00066B8C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Старт приема заявок – 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17 июня 2024</w:t>
      </w: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года;</w:t>
      </w:r>
    </w:p>
    <w:p w:rsidR="00066B8C" w:rsidRPr="00066B8C" w:rsidRDefault="00066B8C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Окончание приема заявок –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21 июня 2024</w:t>
      </w: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года.</w:t>
      </w:r>
    </w:p>
    <w:p w:rsidR="00066B8C" w:rsidRPr="00066B8C" w:rsidRDefault="00066B8C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Сроки реализации проектов:</w:t>
      </w:r>
    </w:p>
    <w:p w:rsidR="00066B8C" w:rsidRPr="00066B8C" w:rsidRDefault="00066B8C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Начало ре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ализации – не ранее 01 июля 2024</w:t>
      </w: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года;</w:t>
      </w:r>
    </w:p>
    <w:p w:rsidR="00066B8C" w:rsidRPr="00066B8C" w:rsidRDefault="00066B8C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Завершение реализ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ации – не позднее 30 ноября 2024</w:t>
      </w: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года.</w:t>
      </w:r>
    </w:p>
    <w:p w:rsidR="00066B8C" w:rsidRPr="00066B8C" w:rsidRDefault="00066B8C" w:rsidP="003853A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Организатор конкурса – Администрация Тогучинского района Новосибирской области</w:t>
      </w:r>
    </w:p>
    <w:p w:rsidR="00066B8C" w:rsidRPr="00066B8C" w:rsidRDefault="00066B8C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633456, Новосибирская область, г.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Тогучин, ул. Садовая 9, </w:t>
      </w:r>
      <w:proofErr w:type="spellStart"/>
      <w:r>
        <w:rPr>
          <w:rFonts w:ascii="Times New Roman" w:eastAsia="Times New Roman" w:hAnsi="Times New Roman" w:cs="Times New Roman"/>
          <w:color w:val="101010"/>
          <w:sz w:val="28"/>
          <w:szCs w:val="28"/>
          <w:lang w:val="en-US" w:eastAsia="ru-RU"/>
        </w:rPr>
        <w:t>togadm@nso</w:t>
      </w:r>
      <w:proofErr w:type="spellEnd"/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101010"/>
          <w:sz w:val="28"/>
          <w:szCs w:val="28"/>
          <w:lang w:val="en-US" w:eastAsia="ru-RU"/>
        </w:rPr>
        <w:t>ru</w:t>
      </w:r>
      <w:proofErr w:type="spellEnd"/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</w:p>
    <w:p w:rsidR="00066B8C" w:rsidRPr="00066B8C" w:rsidRDefault="00066B8C" w:rsidP="003853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Номинации конкурса:</w:t>
      </w:r>
    </w:p>
    <w:p w:rsidR="00066B8C" w:rsidRPr="00066B8C" w:rsidRDefault="00066B8C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организация благоустройства территории ТОС;</w:t>
      </w:r>
    </w:p>
    <w:p w:rsidR="00066B8C" w:rsidRPr="00066B8C" w:rsidRDefault="00066B8C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сохранение, использование и популяризация культурного наследия (памятников, мемориалов) и содержание мест захоронений;</w:t>
      </w:r>
    </w:p>
    <w:p w:rsidR="00066B8C" w:rsidRPr="00066B8C" w:rsidRDefault="00066B8C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создание условий для организации досуга и обеспечение жителей ТОС услугами организаций культуры;</w:t>
      </w:r>
    </w:p>
    <w:p w:rsidR="00066B8C" w:rsidRDefault="00066B8C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обеспечение условий для развития на территории ТОС физической культуры, массового спорта;</w:t>
      </w:r>
    </w:p>
    <w:p w:rsidR="00066B8C" w:rsidRDefault="00066B8C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создание условий для предоставления транспортных услуг населению, и организация транспортного обслуживания населения в границах ТОС;</w:t>
      </w:r>
    </w:p>
    <w:p w:rsidR="00066B8C" w:rsidRDefault="00066B8C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="0088395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обеспечение общественной безопасности;</w:t>
      </w:r>
    </w:p>
    <w:p w:rsidR="00066B8C" w:rsidRPr="00066B8C" w:rsidRDefault="00066B8C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организация деятельности по сбору и транспортированию твердых коммунальных отходов.</w:t>
      </w:r>
    </w:p>
    <w:p w:rsidR="00F66AEF" w:rsidRPr="00F66AEF" w:rsidRDefault="00F66AEF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4. </w:t>
      </w:r>
      <w:r w:rsidRPr="00F66AE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 </w:t>
      </w:r>
      <w:r w:rsidR="00066B8C" w:rsidRPr="00F66AEF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Общий фонд финансирования конкурса</w:t>
      </w:r>
      <w:r w:rsidR="00066B8C" w:rsidRPr="00F66AE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– </w:t>
      </w:r>
      <w:r w:rsidR="00883950" w:rsidRPr="00F66AE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1 723 200 рублей.</w:t>
      </w:r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Максимальный размер одного проекта 400 000 тысяч рублей.</w:t>
      </w:r>
    </w:p>
    <w:p w:rsidR="00066B8C" w:rsidRPr="00066B8C" w:rsidRDefault="00F66AEF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    </w:t>
      </w:r>
      <w:r w:rsidRPr="00F66AEF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5.  </w:t>
      </w:r>
      <w:r w:rsidR="00066B8C" w:rsidRPr="00066B8C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Проведение конкурса на предоставление грантов обеспечивается на сайте:</w:t>
      </w:r>
    </w:p>
    <w:p w:rsidR="00066B8C" w:rsidRPr="00066B8C" w:rsidRDefault="003853AF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hyperlink r:id="rId5" w:history="1">
        <w:r w:rsidR="00066B8C" w:rsidRPr="00066B8C">
          <w:rPr>
            <w:rFonts w:ascii="Times New Roman" w:eastAsia="Times New Roman" w:hAnsi="Times New Roman" w:cs="Times New Roman"/>
            <w:color w:val="CD8CF7"/>
            <w:sz w:val="28"/>
            <w:szCs w:val="28"/>
            <w:lang w:eastAsia="ru-RU"/>
          </w:rPr>
          <w:t>www.toguchin.nso.ru</w:t>
        </w:r>
      </w:hyperlink>
      <w:r w:rsidR="00066B8C"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информация размещается на официальном сайте администрации Тогучинского района Новосибирской области</w:t>
      </w:r>
      <w:r w:rsidR="00F66AE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883950" w:rsidRPr="00066B8C" w:rsidRDefault="00F66AEF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6. </w:t>
      </w:r>
      <w:r w:rsidR="00066B8C" w:rsidRPr="00066B8C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Участники конкурса</w:t>
      </w:r>
      <w:r w:rsidR="00156BAE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на первое число месяца</w:t>
      </w:r>
      <w:r w:rsidR="00066B8C" w:rsidRPr="00066B8C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должны соответствовать требованиям:</w:t>
      </w:r>
    </w:p>
    <w:p w:rsidR="00883950" w:rsidRDefault="00883950" w:rsidP="003853AF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6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соискатель</w:t>
      </w:r>
      <w:r w:rsidRPr="003168C8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8C8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</w:t>
      </w:r>
      <w:r w:rsidRPr="003168C8">
        <w:rPr>
          <w:rFonts w:ascii="Times New Roman" w:hAnsi="Times New Roman" w:cs="Times New Roman"/>
          <w:sz w:val="28"/>
          <w:szCs w:val="28"/>
        </w:rPr>
        <w:lastRenderedPageBreak/>
        <w:t>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83950" w:rsidRDefault="00883950" w:rsidP="003853AF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соискатель субсидии </w:t>
      </w:r>
      <w:r w:rsidRPr="003168C8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83950" w:rsidRDefault="00883950" w:rsidP="003853AF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соискатель субсидии </w:t>
      </w:r>
      <w:r w:rsidRPr="003168C8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83950" w:rsidRDefault="00883950" w:rsidP="003853AF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соискатель</w:t>
      </w:r>
      <w:r w:rsidRPr="003168C8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 не получает</w:t>
      </w:r>
      <w:r w:rsidRPr="003168C8">
        <w:rPr>
          <w:rFonts w:ascii="Times New Roman" w:hAnsi="Times New Roman" w:cs="Times New Roman"/>
          <w:sz w:val="28"/>
          <w:szCs w:val="28"/>
        </w:rPr>
        <w:t xml:space="preserve"> средства из бюджета </w:t>
      </w:r>
      <w:r>
        <w:rPr>
          <w:rFonts w:ascii="Times New Roman" w:hAnsi="Times New Roman" w:cs="Times New Roman"/>
          <w:sz w:val="28"/>
          <w:szCs w:val="28"/>
        </w:rPr>
        <w:t>района на основании иных нормативных правовых актов администрации района на цели настоящего проекта;</w:t>
      </w:r>
    </w:p>
    <w:p w:rsidR="00883950" w:rsidRDefault="00883950" w:rsidP="003853AF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соискатель субсидии</w:t>
      </w:r>
      <w:r w:rsidRPr="00EA6545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 </w:t>
      </w:r>
      <w:hyperlink r:id="rId6" w:anchor="l0" w:tgtFrame="_blank" w:history="1">
        <w:r w:rsidRPr="008839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A6545">
        <w:rPr>
          <w:rFonts w:ascii="Times New Roman" w:hAnsi="Times New Roman" w:cs="Times New Roman"/>
          <w:sz w:val="28"/>
          <w:szCs w:val="28"/>
        </w:rPr>
        <w:t> "О контроле за деятельностью лиц, находящихся под иностранным влиянием";</w:t>
      </w:r>
    </w:p>
    <w:p w:rsidR="00883950" w:rsidRDefault="00883950" w:rsidP="003853AF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соискатель субсидии</w:t>
      </w:r>
      <w:r w:rsidRPr="000C51C9">
        <w:rPr>
          <w:rFonts w:ascii="Times New Roman" w:hAnsi="Times New Roman" w:cs="Times New Roman"/>
          <w:sz w:val="28"/>
          <w:szCs w:val="28"/>
        </w:rPr>
        <w:t xml:space="preserve"> на едином налоговом счете отсутствует или не превышает размер, определенный </w:t>
      </w:r>
      <w:hyperlink r:id="rId7" w:anchor="l12464" w:tgtFrame="_blank" w:history="1">
        <w:r w:rsidRPr="008839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0C51C9">
        <w:rPr>
          <w:rFonts w:ascii="Times New Roman" w:hAnsi="Times New Roman" w:cs="Times New Roman"/>
          <w:sz w:val="28"/>
          <w:szCs w:val="28"/>
        </w:rPr>
        <w:t> 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83950" w:rsidRDefault="00883950" w:rsidP="003853AF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51C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соискателя субсидии</w:t>
      </w:r>
      <w:r w:rsidRPr="000C51C9">
        <w:rPr>
          <w:rFonts w:ascii="Times New Roman" w:hAnsi="Times New Roman" w:cs="Times New Roman"/>
          <w:sz w:val="28"/>
          <w:szCs w:val="28"/>
        </w:rPr>
        <w:t xml:space="preserve"> отсутствуют просроченная задолженность по возврату в бюджет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C51C9">
        <w:rPr>
          <w:rFonts w:ascii="Times New Roman" w:hAnsi="Times New Roman" w:cs="Times New Roman"/>
          <w:sz w:val="28"/>
          <w:szCs w:val="28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бюджетом района;</w:t>
      </w:r>
    </w:p>
    <w:p w:rsidR="00883950" w:rsidRDefault="00883950" w:rsidP="003853AF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соискатель субсидии, </w:t>
      </w:r>
      <w:r w:rsidRPr="00C70AC7">
        <w:rPr>
          <w:rFonts w:ascii="Times New Roman" w:hAnsi="Times New Roman" w:cs="Times New Roman"/>
          <w:sz w:val="28"/>
          <w:szCs w:val="28"/>
        </w:rPr>
        <w:t>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883950" w:rsidRDefault="00883950" w:rsidP="003853AF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AC7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C70AC7">
        <w:rPr>
          <w:rFonts w:ascii="Times New Roman" w:hAnsi="Times New Roman" w:cs="Times New Roman"/>
          <w:sz w:val="28"/>
          <w:szCs w:val="28"/>
        </w:rPr>
        <w:lastRenderedPageBreak/>
        <w:t>органа, лице, исполняющем функции единоличного исполнительного органа, или главном бухгалтере (пр</w:t>
      </w:r>
      <w:r>
        <w:rPr>
          <w:rFonts w:ascii="Times New Roman" w:hAnsi="Times New Roman" w:cs="Times New Roman"/>
          <w:sz w:val="28"/>
          <w:szCs w:val="28"/>
        </w:rPr>
        <w:t xml:space="preserve">и наличии) соискателя субсидии, </w:t>
      </w:r>
      <w:r w:rsidRPr="00C70AC7">
        <w:rPr>
          <w:rFonts w:ascii="Times New Roman" w:hAnsi="Times New Roman" w:cs="Times New Roman"/>
          <w:sz w:val="28"/>
          <w:szCs w:val="28"/>
        </w:rPr>
        <w:t>являющегося юридическим лицом, и о физическом лице - производителе товаров, работ, услуг, я</w:t>
      </w:r>
      <w:r>
        <w:rPr>
          <w:rFonts w:ascii="Times New Roman" w:hAnsi="Times New Roman" w:cs="Times New Roman"/>
          <w:sz w:val="28"/>
          <w:szCs w:val="28"/>
        </w:rPr>
        <w:t>вляющихся получателями субсидии.</w:t>
      </w:r>
    </w:p>
    <w:p w:rsidR="00883950" w:rsidRDefault="00883950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</w:r>
      <w:r w:rsidRPr="00F66AEF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Документы необходимые для подтверждения данных требований подтверждаются в произвольной форме</w:t>
      </w:r>
      <w:r w:rsidR="00C40BB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C40BBF" w:rsidRDefault="00C40BBF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066B8C" w:rsidRPr="00066B8C" w:rsidRDefault="00F66AEF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7. </w:t>
      </w:r>
      <w:r w:rsidR="00066B8C" w:rsidRPr="00066B8C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Для участия в конкурсе участник предоставляет следующие документы:</w:t>
      </w:r>
    </w:p>
    <w:p w:rsidR="00626D88" w:rsidRDefault="00626D88" w:rsidP="003853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заявление на рассмотрение документов</w:t>
      </w:r>
      <w:r w:rsidR="00AB401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 приложение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№ 1;</w:t>
      </w:r>
    </w:p>
    <w:p w:rsidR="00066B8C" w:rsidRPr="00066B8C" w:rsidRDefault="00066B8C" w:rsidP="003853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заявку на участие в </w:t>
      </w:r>
      <w:r w:rsidR="00AB401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конкурсе согласно приложению</w:t>
      </w:r>
      <w:r w:rsidR="00626D8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№ 2</w:t>
      </w: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;</w:t>
      </w:r>
    </w:p>
    <w:p w:rsidR="00066B8C" w:rsidRDefault="00066B8C" w:rsidP="003853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копию документа, удостоверяющая личность;</w:t>
      </w:r>
    </w:p>
    <w:p w:rsidR="00C40BBF" w:rsidRPr="00066B8C" w:rsidRDefault="00C40BBF" w:rsidP="003853AF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копию документов, удостоверяющих личность и подтверждающих полномочия представителя соискателя субсидии (в случае если с заявлением обращается представитель соискателя субсидии);</w:t>
      </w:r>
    </w:p>
    <w:p w:rsidR="00066B8C" w:rsidRPr="00066B8C" w:rsidRDefault="00066B8C" w:rsidP="003853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копия страхового свидетельства обязательного пенсионного страхования;</w:t>
      </w:r>
    </w:p>
    <w:p w:rsidR="00066B8C" w:rsidRPr="00066B8C" w:rsidRDefault="00066B8C" w:rsidP="003853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копия свидетельства о поставке на учет в налоговом органе;</w:t>
      </w:r>
    </w:p>
    <w:p w:rsidR="00066B8C" w:rsidRDefault="00066B8C" w:rsidP="003853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решение руководящего органа территориального общественного самоуправления об участии в конкурсе соискателя субсидии, осуществлении им проекта с делегированием полномочий;</w:t>
      </w:r>
    </w:p>
    <w:p w:rsidR="00C40BBF" w:rsidRPr="00066B8C" w:rsidRDefault="00C40BBF" w:rsidP="003853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копия Устава территориально общественного самоуправления;</w:t>
      </w:r>
    </w:p>
    <w:p w:rsidR="00066B8C" w:rsidRPr="00066B8C" w:rsidRDefault="00066B8C" w:rsidP="003853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выписка из реестра уставов территориальных общественных самоуправлений о регистрации устава территориального общественного самоуправления;</w:t>
      </w:r>
    </w:p>
    <w:p w:rsidR="00066B8C" w:rsidRPr="00066B8C" w:rsidRDefault="00066B8C" w:rsidP="003853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 от </w:t>
      </w:r>
      <w:r w:rsidR="00C40BB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23.11.2022 «ЕД-7-8/1123</w:t>
      </w:r>
      <w:r w:rsidR="00C40BBF" w:rsidRPr="00C40BB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@ </w:t>
      </w: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выданная в отношении соискателя гранта, по состоянию на дату подачи заявления;</w:t>
      </w:r>
    </w:p>
    <w:p w:rsidR="00066B8C" w:rsidRPr="00066B8C" w:rsidRDefault="00F66AEF" w:rsidP="003853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r w:rsidR="00066B8C"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согласие собственника земельного участка, на территории которого планируется реализация социально значимого проекта, на использование земельного участка (в случае если социально значимый проект предусматривает использование такого земельного участка), а также на принятие в собственность и обеспечение надлежащего содержания элементов благоустройства территории, размещенных на земельном участке в рамках реализации социально значимого проекта;</w:t>
      </w:r>
    </w:p>
    <w:p w:rsidR="00066B8C" w:rsidRPr="00066B8C" w:rsidRDefault="00066B8C" w:rsidP="003853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документы, подтверждающие планируемые затраты на выполнение мероприятий социально значимого проекта;</w:t>
      </w:r>
    </w:p>
    <w:p w:rsidR="00066B8C" w:rsidRPr="00066B8C" w:rsidRDefault="00066B8C" w:rsidP="003853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согласие на обработку персональных данных в соответствии с Федеральным законом от 27.07.2006 152-ФЗ "О персональных данных"</w:t>
      </w:r>
      <w:r w:rsidR="00AB401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r w:rsidR="0005761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согласно приложению № 3</w:t>
      </w: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;</w:t>
      </w:r>
    </w:p>
    <w:p w:rsidR="00066B8C" w:rsidRPr="00066B8C" w:rsidRDefault="00066B8C" w:rsidP="003853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документ, содержащий сведения о банковских реквизитах для перечисления субсидии;</w:t>
      </w:r>
    </w:p>
    <w:p w:rsidR="00066B8C" w:rsidRDefault="00066B8C" w:rsidP="003853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согласие получателя субсидии на осуществление</w:t>
      </w:r>
      <w:r w:rsidR="00C40BBF" w:rsidRPr="00C40BB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r w:rsidR="00C40BB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управлением делами </w:t>
      </w:r>
      <w:r w:rsidR="00F90ED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и </w:t>
      </w:r>
      <w:r w:rsidR="00F90ED8"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органами</w:t>
      </w: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муниципального финансового контроля Тогучинского района Новосибирской области проверок соблюдения получателем субсидии условий, целей и порядка его предоставления</w:t>
      </w:r>
      <w:r w:rsidR="00AB401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</w:t>
      </w:r>
      <w:r w:rsidR="0005761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согласно приложению № 4</w:t>
      </w: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F90ED8" w:rsidRDefault="00F90ED8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Соискатель вправе предоставить дополнительные документы, которые, по его мнению, имеют значение для принятия решения о предоставлении субсидии.</w:t>
      </w:r>
    </w:p>
    <w:p w:rsidR="00F90ED8" w:rsidRPr="00066B8C" w:rsidRDefault="00F90ED8" w:rsidP="003853AF">
      <w:p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Копии документов должны быть заверены! </w:t>
      </w:r>
    </w:p>
    <w:p w:rsidR="00066B8C" w:rsidRPr="00066B8C" w:rsidRDefault="00066B8C" w:rsidP="003853AF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Заявка может быть изменена или отозвана организацией</w:t>
      </w:r>
      <w:r w:rsidR="00F90ED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до 20 июня 2024</w:t>
      </w: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года, материалы, предоставленные в конкурсную комиссию не возвращаются.</w:t>
      </w:r>
    </w:p>
    <w:p w:rsidR="00066B8C" w:rsidRPr="00066B8C" w:rsidRDefault="00066B8C" w:rsidP="003853AF">
      <w:pPr>
        <w:numPr>
          <w:ilvl w:val="0"/>
          <w:numId w:val="10"/>
        </w:numPr>
        <w:shd w:val="clear" w:color="auto" w:fill="FFFFFF"/>
        <w:spacing w:after="10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Критерии оценки:</w:t>
      </w:r>
    </w:p>
    <w:tbl>
      <w:tblPr>
        <w:tblW w:w="99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041"/>
        <w:gridCol w:w="1202"/>
        <w:gridCol w:w="3683"/>
      </w:tblGrid>
      <w:tr w:rsidR="00066B8C" w:rsidRPr="00066B8C" w:rsidTr="003853AF">
        <w:trPr>
          <w:jc w:val="center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</w:tr>
      <w:tr w:rsidR="00066B8C" w:rsidRPr="00066B8C" w:rsidTr="003853AF">
        <w:trPr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Значимость и актуальность проекта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проекта приоритетным направлениям развития Тогучинского района Новосибирской области;</w:t>
            </w:r>
          </w:p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значимость, актуальность и реалистичность конкретных задач, на решение которых направлен проект;</w:t>
            </w:r>
          </w:p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логичность, взаимосвязь и последовательность мероприятий проекта.</w:t>
            </w:r>
          </w:p>
        </w:tc>
      </w:tr>
      <w:tr w:rsidR="00066B8C" w:rsidRPr="00066B8C" w:rsidTr="003853AF">
        <w:trPr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эффективность проекта</w:t>
            </w:r>
            <w:bookmarkStart w:id="0" w:name="_GoBack"/>
            <w:bookmarkEnd w:id="0"/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планируемых расходов на реализацию проекта и его ожидаемых результатов;</w:t>
            </w:r>
          </w:p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реалистичность и обоснованность расходов на реализацию проекта;</w:t>
            </w:r>
          </w:p>
          <w:p w:rsidR="00F90ED8" w:rsidRPr="00066B8C" w:rsidRDefault="00F90ED8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B8C" w:rsidRPr="00066B8C" w:rsidTr="003853AF">
        <w:trPr>
          <w:trHeight w:val="198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эффективность проекта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соответствие ожидаемых результатов реализации проекта запланированным мероприятиям;</w:t>
            </w:r>
          </w:p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степень влияния мероприятий проекта на улучшение состояния </w:t>
            </w:r>
            <w:proofErr w:type="spellStart"/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благополучателей</w:t>
            </w:r>
            <w:proofErr w:type="spellEnd"/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добровольцев, которых планируется привлечь к реализации проекта.</w:t>
            </w:r>
          </w:p>
        </w:tc>
      </w:tr>
      <w:tr w:rsidR="00066B8C" w:rsidRPr="00066B8C" w:rsidTr="003853AF">
        <w:trPr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компетенция соискателей грантов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опыта в осуществлении деятельности, предполагаемой по проекту;</w:t>
            </w:r>
          </w:p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необходимой для реализации проекта материально-технической базы и помещения (земельного участка); </w:t>
            </w:r>
          </w:p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опыта использования целевых поступлений;</w:t>
            </w:r>
          </w:p>
          <w:p w:rsidR="00066B8C" w:rsidRPr="00066B8C" w:rsidRDefault="00066B8C" w:rsidP="00066B8C">
            <w:pPr>
              <w:spacing w:line="28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информации о деятельности в сети Интернет, средствах массовой информации.</w:t>
            </w:r>
          </w:p>
        </w:tc>
      </w:tr>
    </w:tbl>
    <w:p w:rsidR="00066B8C" w:rsidRPr="00591961" w:rsidRDefault="00066B8C" w:rsidP="003853AF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91961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Организация консультаций</w:t>
      </w:r>
    </w:p>
    <w:p w:rsidR="00066B8C" w:rsidRPr="00066B8C" w:rsidRDefault="00066B8C" w:rsidP="003853AF">
      <w:pPr>
        <w:shd w:val="clear" w:color="auto" w:fill="FFFFFF"/>
        <w:spacing w:after="0" w:line="240" w:lineRule="auto"/>
        <w:ind w:left="709"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 м</w:t>
      </w:r>
      <w:r w:rsidR="008940F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омента объявления конкурса по 21 июня 2024</w:t>
      </w: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года, по телефону 8 383 40 24 921, а также по адресу 633456, г.</w:t>
      </w:r>
      <w:r w:rsidR="008940F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Тогучин, ул. Садовая 9, </w:t>
      </w:r>
      <w:proofErr w:type="spellStart"/>
      <w:r w:rsidR="008940F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каб</w:t>
      </w:r>
      <w:proofErr w:type="spellEnd"/>
      <w:r w:rsidR="008940F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 402</w:t>
      </w:r>
    </w:p>
    <w:p w:rsidR="00066B8C" w:rsidRPr="00066B8C" w:rsidRDefault="00066B8C" w:rsidP="003853AF">
      <w:pPr>
        <w:numPr>
          <w:ilvl w:val="0"/>
          <w:numId w:val="12"/>
        </w:num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Заключение соглашения (договора) с победителем конкурса</w:t>
      </w:r>
      <w:r w:rsidRPr="00066B8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 w:rsidR="008940F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 позднее 24 июля 2024 года.</w:t>
      </w:r>
    </w:p>
    <w:p w:rsidR="00066B8C" w:rsidRPr="00066B8C" w:rsidRDefault="00066B8C" w:rsidP="003853AF">
      <w:pPr>
        <w:numPr>
          <w:ilvl w:val="0"/>
          <w:numId w:val="13"/>
        </w:numPr>
        <w:shd w:val="clear" w:color="auto" w:fill="FFFFFF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6B8C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Определение победителей и публикация результатов</w:t>
      </w:r>
      <w:r w:rsidR="008940F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не позднее 8 июля 2024 года.</w:t>
      </w:r>
    </w:p>
    <w:p w:rsidR="005815CE" w:rsidRPr="00066B8C" w:rsidRDefault="005815CE">
      <w:pPr>
        <w:rPr>
          <w:rFonts w:ascii="Times New Roman" w:hAnsi="Times New Roman" w:cs="Times New Roman"/>
          <w:sz w:val="28"/>
          <w:szCs w:val="28"/>
        </w:rPr>
      </w:pPr>
    </w:p>
    <w:sectPr w:rsidR="005815CE" w:rsidRPr="00066B8C" w:rsidSect="00591961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71D0"/>
    <w:multiLevelType w:val="multilevel"/>
    <w:tmpl w:val="F10C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D3D98"/>
    <w:multiLevelType w:val="multilevel"/>
    <w:tmpl w:val="69267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967EE"/>
    <w:multiLevelType w:val="multilevel"/>
    <w:tmpl w:val="B268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722DA"/>
    <w:multiLevelType w:val="multilevel"/>
    <w:tmpl w:val="6692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C0DBE"/>
    <w:multiLevelType w:val="multilevel"/>
    <w:tmpl w:val="AD507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E70FF0"/>
    <w:multiLevelType w:val="multilevel"/>
    <w:tmpl w:val="55D6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643E8"/>
    <w:multiLevelType w:val="multilevel"/>
    <w:tmpl w:val="C208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E7FBF"/>
    <w:multiLevelType w:val="multilevel"/>
    <w:tmpl w:val="28FC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376DD"/>
    <w:multiLevelType w:val="multilevel"/>
    <w:tmpl w:val="B0BC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F16EF"/>
    <w:multiLevelType w:val="multilevel"/>
    <w:tmpl w:val="E710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9"/>
    <w:lvlOverride w:ilvl="0">
      <w:startOverride w:val="4"/>
    </w:lvlOverride>
  </w:num>
  <w:num w:numId="5">
    <w:abstractNumId w:val="9"/>
    <w:lvlOverride w:ilvl="0">
      <w:startOverride w:val="5"/>
    </w:lvlOverride>
  </w:num>
  <w:num w:numId="6">
    <w:abstractNumId w:val="7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1"/>
  </w:num>
  <w:num w:numId="9">
    <w:abstractNumId w:val="3"/>
    <w:lvlOverride w:ilvl="0">
      <w:startOverride w:val="8"/>
    </w:lvlOverride>
  </w:num>
  <w:num w:numId="10">
    <w:abstractNumId w:val="3"/>
    <w:lvlOverride w:ilvl="0">
      <w:startOverride w:val="9"/>
    </w:lvlOverride>
  </w:num>
  <w:num w:numId="11">
    <w:abstractNumId w:val="8"/>
    <w:lvlOverride w:ilvl="0">
      <w:startOverride w:val="10"/>
    </w:lvlOverride>
  </w:num>
  <w:num w:numId="12">
    <w:abstractNumId w:val="6"/>
    <w:lvlOverride w:ilvl="0">
      <w:startOverride w:val="11"/>
    </w:lvlOverride>
  </w:num>
  <w:num w:numId="13">
    <w:abstractNumId w:val="6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FB"/>
    <w:rsid w:val="00057611"/>
    <w:rsid w:val="00066B8C"/>
    <w:rsid w:val="00156BAE"/>
    <w:rsid w:val="00193EB3"/>
    <w:rsid w:val="003853AF"/>
    <w:rsid w:val="005815CE"/>
    <w:rsid w:val="00591961"/>
    <w:rsid w:val="00626D88"/>
    <w:rsid w:val="00883950"/>
    <w:rsid w:val="008940F3"/>
    <w:rsid w:val="009A58FB"/>
    <w:rsid w:val="00AB4012"/>
    <w:rsid w:val="00B405F3"/>
    <w:rsid w:val="00B941EF"/>
    <w:rsid w:val="00C40BBF"/>
    <w:rsid w:val="00F66AEF"/>
    <w:rsid w:val="00F9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17DFC-8C54-48A5-8B5F-02F5A574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9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62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53436" TargetMode="External"/><Relationship Id="rId5" Type="http://schemas.openxmlformats.org/officeDocument/2006/relationships/hyperlink" Target="http://www.toguchin.ns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Tregub</dc:creator>
  <cp:keywords/>
  <dc:description/>
  <cp:lastModifiedBy>Artem M. Nemykin</cp:lastModifiedBy>
  <cp:revision>9</cp:revision>
  <dcterms:created xsi:type="dcterms:W3CDTF">2024-05-15T03:16:00Z</dcterms:created>
  <dcterms:modified xsi:type="dcterms:W3CDTF">2024-05-16T03:17:00Z</dcterms:modified>
</cp:coreProperties>
</file>