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9355"/>
            </w:tblGrid>
            <w:tr w:rsidR="00BF60AD" w:rsidRPr="00E101B8" w:rsidTr="004915C1">
              <w:tc>
                <w:tcPr>
                  <w:tcW w:w="9355" w:type="dxa"/>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4915C1">
              <w:trPr>
                <w:trHeight w:val="384"/>
              </w:trPr>
              <w:tc>
                <w:tcPr>
                  <w:tcW w:w="9355" w:type="dxa"/>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4915C1">
              <w:trPr>
                <w:trHeight w:val="404"/>
              </w:trPr>
              <w:tc>
                <w:tcPr>
                  <w:tcW w:w="9355" w:type="dxa"/>
                </w:tcPr>
                <w:p w:rsidR="00BF60AD" w:rsidRPr="00E101B8" w:rsidRDefault="00575C17" w:rsidP="00747178">
                  <w:pPr>
                    <w:spacing w:after="0" w:line="240" w:lineRule="auto"/>
                    <w:ind w:right="-55"/>
                    <w:jc w:val="center"/>
                    <w:rPr>
                      <w:rFonts w:ascii="Times New Roman" w:hAnsi="Times New Roman"/>
                      <w:sz w:val="28"/>
                      <w:szCs w:val="24"/>
                      <w:lang w:eastAsia="ru-RU"/>
                    </w:rPr>
                  </w:pPr>
                  <w:r>
                    <w:rPr>
                      <w:rFonts w:ascii="Times New Roman" w:hAnsi="Times New Roman"/>
                      <w:sz w:val="28"/>
                      <w:szCs w:val="24"/>
                      <w:lang w:eastAsia="ru-RU"/>
                    </w:rPr>
                    <w:t>06.05.2025</w:t>
                  </w:r>
                  <w:bookmarkStart w:id="0" w:name="_GoBack"/>
                  <w:bookmarkEnd w:id="0"/>
                  <w:r w:rsidR="00164273">
                    <w:rPr>
                      <w:rFonts w:ascii="Times New Roman" w:hAnsi="Times New Roman"/>
                      <w:sz w:val="28"/>
                      <w:szCs w:val="24"/>
                      <w:lang w:eastAsia="ru-RU"/>
                    </w:rPr>
                    <w:t xml:space="preserve"> №</w:t>
                  </w:r>
                  <w:r>
                    <w:rPr>
                      <w:rFonts w:ascii="Times New Roman" w:hAnsi="Times New Roman"/>
                      <w:sz w:val="28"/>
                      <w:szCs w:val="24"/>
                      <w:lang w:eastAsia="ru-RU"/>
                    </w:rPr>
                    <w:t xml:space="preserve"> 513/П/93</w:t>
                  </w:r>
                  <w:r w:rsidR="00164273">
                    <w:rPr>
                      <w:rFonts w:ascii="Times New Roman" w:hAnsi="Times New Roman"/>
                      <w:sz w:val="28"/>
                      <w:szCs w:val="24"/>
                      <w:lang w:eastAsia="ru-RU"/>
                    </w:rPr>
                    <w:t xml:space="preserve"> </w:t>
                  </w: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890DD6">
        <w:rPr>
          <w:sz w:val="28"/>
          <w:szCs w:val="28"/>
        </w:rPr>
        <w:t>Усть-Каменского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890DD6">
        <w:rPr>
          <w:sz w:val="28"/>
          <w:szCs w:val="28"/>
        </w:rPr>
        <w:t>7.10</w:t>
      </w:r>
      <w:r w:rsidR="00304B29" w:rsidRPr="00E101B8">
        <w:rPr>
          <w:sz w:val="28"/>
          <w:szCs w:val="28"/>
        </w:rPr>
        <w:t>.20</w:t>
      </w:r>
      <w:r w:rsidR="00890DD6">
        <w:rPr>
          <w:sz w:val="28"/>
          <w:szCs w:val="28"/>
        </w:rPr>
        <w:t>23</w:t>
      </w:r>
      <w:r w:rsidR="00304B29" w:rsidRPr="00E101B8">
        <w:rPr>
          <w:sz w:val="28"/>
          <w:szCs w:val="28"/>
        </w:rPr>
        <w:t xml:space="preserve"> № </w:t>
      </w:r>
      <w:r w:rsidR="00890DD6">
        <w:rPr>
          <w:sz w:val="28"/>
          <w:szCs w:val="28"/>
        </w:rPr>
        <w:t>25</w:t>
      </w:r>
      <w:r w:rsidR="0077623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890DD6">
        <w:rPr>
          <w:sz w:val="28"/>
          <w:szCs w:val="28"/>
        </w:rPr>
        <w:t>хранение автотранспорта</w:t>
      </w:r>
      <w:r w:rsidR="00DB6704" w:rsidRPr="00FA5A15">
        <w:rPr>
          <w:sz w:val="28"/>
          <w:szCs w:val="28"/>
        </w:rPr>
        <w:t>» в отношении земельного участка</w:t>
      </w:r>
      <w:r w:rsidR="00776239">
        <w:rPr>
          <w:sz w:val="28"/>
          <w:szCs w:val="28"/>
        </w:rPr>
        <w:t xml:space="preserve"> </w:t>
      </w:r>
      <w:r w:rsidR="00F97796" w:rsidRPr="00F97796">
        <w:rPr>
          <w:sz w:val="28"/>
          <w:szCs w:val="28"/>
        </w:rPr>
        <w:t>(согласно схемы расположения земельного участка на кадастровом плане территории, утвержденной постановлением администрации Тогучинского района</w:t>
      </w:r>
      <w:r w:rsidR="00164273">
        <w:rPr>
          <w:sz w:val="28"/>
          <w:szCs w:val="28"/>
        </w:rPr>
        <w:t xml:space="preserve"> Новосибирской области  от 28.04.2025 №477</w:t>
      </w:r>
      <w:r w:rsidR="00F97796" w:rsidRPr="00F97796">
        <w:rPr>
          <w:sz w:val="28"/>
          <w:szCs w:val="28"/>
        </w:rPr>
        <w:t xml:space="preserve">/П/93) </w:t>
      </w:r>
      <w:r w:rsidR="00DB6704" w:rsidRPr="00FA5A15">
        <w:rPr>
          <w:sz w:val="28"/>
          <w:szCs w:val="28"/>
        </w:rPr>
        <w:t xml:space="preserve">площадью </w:t>
      </w:r>
      <w:r w:rsidR="00164273">
        <w:rPr>
          <w:sz w:val="28"/>
          <w:szCs w:val="28"/>
        </w:rPr>
        <w:t>48</w:t>
      </w:r>
      <w:r w:rsidR="00890DD6">
        <w:rPr>
          <w:sz w:val="28"/>
          <w:szCs w:val="28"/>
        </w:rPr>
        <w:t>9</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w:t>
      </w:r>
      <w:r w:rsidR="00DB6704" w:rsidRPr="00FA5A15">
        <w:rPr>
          <w:sz w:val="28"/>
          <w:szCs w:val="28"/>
        </w:rPr>
        <w:lastRenderedPageBreak/>
        <w:t xml:space="preserve">область, Тогучинский район, </w:t>
      </w:r>
      <w:r w:rsidR="00890DD6">
        <w:rPr>
          <w:sz w:val="28"/>
          <w:szCs w:val="28"/>
          <w:shd w:val="clear" w:color="auto" w:fill="FFFFFF"/>
        </w:rPr>
        <w:t xml:space="preserve">с. Усть-Каменка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890DD6">
        <w:rPr>
          <w:sz w:val="28"/>
          <w:szCs w:val="28"/>
        </w:rPr>
        <w:t>н</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164273">
        <w:rPr>
          <w:rFonts w:ascii="Times New Roman" w:eastAsia="Times New Roman" w:hAnsi="Times New Roman"/>
          <w:sz w:val="28"/>
          <w:szCs w:val="28"/>
          <w:lang w:eastAsia="ru-RU"/>
        </w:rPr>
        <w:t>12.05</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164273">
        <w:rPr>
          <w:rFonts w:ascii="Times New Roman" w:eastAsia="Times New Roman" w:hAnsi="Times New Roman"/>
          <w:sz w:val="28"/>
          <w:szCs w:val="28"/>
          <w:lang w:eastAsia="ru-RU"/>
        </w:rPr>
        <w:t>25.05</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164273">
        <w:rPr>
          <w:rFonts w:ascii="Times New Roman" w:eastAsia="Times New Roman" w:hAnsi="Times New Roman"/>
          <w:sz w:val="28"/>
          <w:szCs w:val="28"/>
          <w:lang w:eastAsia="ru-RU"/>
        </w:rPr>
        <w:t>12.05</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164273">
        <w:rPr>
          <w:rFonts w:ascii="Times New Roman" w:eastAsia="Times New Roman" w:hAnsi="Times New Roman"/>
          <w:sz w:val="28"/>
          <w:szCs w:val="28"/>
          <w:lang w:eastAsia="ru-RU"/>
        </w:rPr>
        <w:t>25.05</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64273" w:rsidRDefault="00164273" w:rsidP="00141251">
      <w:pPr>
        <w:autoSpaceDN w:val="0"/>
        <w:spacing w:after="0" w:line="240" w:lineRule="auto"/>
        <w:ind w:right="-2"/>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164273">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64273">
        <w:rPr>
          <w:rFonts w:ascii="Times New Roman" w:eastAsia="Times New Roman" w:hAnsi="Times New Roman"/>
          <w:color w:val="000000"/>
          <w:sz w:val="28"/>
          <w:szCs w:val="28"/>
          <w:lang w:eastAsia="ru-RU"/>
        </w:rPr>
        <w:t xml:space="preserve">       С.С. Пыхтин</w:t>
      </w:r>
    </w:p>
    <w:p w:rsidR="00757395" w:rsidRPr="00870A24"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eastAsia="ru-RU"/>
        </w:rPr>
      </w:pPr>
      <w:r>
        <w:rPr>
          <w:rFonts w:ascii="Times New Roman" w:eastAsia="Times New Roman" w:hAnsi="Times New Roman"/>
          <w:color w:val="000000"/>
          <w:sz w:val="28"/>
          <w:szCs w:val="28"/>
          <w:lang w:eastAsia="ru-RU"/>
        </w:rPr>
        <w:t xml:space="preserve">                                            </w:t>
      </w:r>
      <w:r w:rsidRPr="00870A24">
        <w:rPr>
          <w:rFonts w:ascii="Times New Roman" w:eastAsia="Times New Roman" w:hAnsi="Times New Roman"/>
          <w:color w:val="FFFFFF" w:themeColor="background1"/>
          <w:sz w:val="28"/>
          <w:szCs w:val="28"/>
          <w:lang w:eastAsia="ru-RU"/>
        </w:rPr>
        <w:t>[</w:t>
      </w:r>
      <w:r w:rsidRPr="00757395">
        <w:rPr>
          <w:rFonts w:ascii="Times New Roman" w:eastAsia="Times New Roman" w:hAnsi="Times New Roman"/>
          <w:color w:val="FFFFFF" w:themeColor="background1"/>
          <w:sz w:val="28"/>
          <w:szCs w:val="28"/>
          <w:lang w:eastAsia="ru-RU"/>
        </w:rPr>
        <w:t>МЕСТО ДЛЯ ПОДПИСИ</w:t>
      </w:r>
      <w:r w:rsidRPr="00870A24">
        <w:rPr>
          <w:rFonts w:ascii="Times New Roman" w:eastAsia="Times New Roman" w:hAnsi="Times New Roman"/>
          <w:color w:val="FFFFFF" w:themeColor="background1"/>
          <w:sz w:val="28"/>
          <w:szCs w:val="28"/>
          <w:lang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8EB" w:rsidRDefault="009058EB" w:rsidP="001445AB">
      <w:pPr>
        <w:spacing w:after="0" w:line="240" w:lineRule="auto"/>
      </w:pPr>
      <w:r>
        <w:separator/>
      </w:r>
    </w:p>
  </w:endnote>
  <w:endnote w:type="continuationSeparator" w:id="0">
    <w:p w:rsidR="009058EB" w:rsidRDefault="009058EB"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8EB" w:rsidRDefault="009058EB" w:rsidP="001445AB">
      <w:pPr>
        <w:spacing w:after="0" w:line="240" w:lineRule="auto"/>
      </w:pPr>
      <w:r>
        <w:separator/>
      </w:r>
    </w:p>
  </w:footnote>
  <w:footnote w:type="continuationSeparator" w:id="0">
    <w:p w:rsidR="009058EB" w:rsidRDefault="009058EB"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575C17">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B4353"/>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427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0CD"/>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5C1"/>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75C17"/>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980"/>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164"/>
    <w:rsid w:val="00757395"/>
    <w:rsid w:val="0076176D"/>
    <w:rsid w:val="00762A48"/>
    <w:rsid w:val="007750DB"/>
    <w:rsid w:val="00776239"/>
    <w:rsid w:val="00784A6D"/>
    <w:rsid w:val="00786CA0"/>
    <w:rsid w:val="00794443"/>
    <w:rsid w:val="007A16AA"/>
    <w:rsid w:val="007A288C"/>
    <w:rsid w:val="007B00DB"/>
    <w:rsid w:val="007B6ECC"/>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0F83"/>
    <w:rsid w:val="00855D1C"/>
    <w:rsid w:val="00857FAF"/>
    <w:rsid w:val="008603FB"/>
    <w:rsid w:val="00865091"/>
    <w:rsid w:val="00870A24"/>
    <w:rsid w:val="0087218C"/>
    <w:rsid w:val="00872E56"/>
    <w:rsid w:val="008754A1"/>
    <w:rsid w:val="00876E6E"/>
    <w:rsid w:val="008779BC"/>
    <w:rsid w:val="00890DD6"/>
    <w:rsid w:val="00896A50"/>
    <w:rsid w:val="008B0736"/>
    <w:rsid w:val="008B07CA"/>
    <w:rsid w:val="008B1F2F"/>
    <w:rsid w:val="008B74B1"/>
    <w:rsid w:val="008C0C3A"/>
    <w:rsid w:val="008D0F34"/>
    <w:rsid w:val="008D1016"/>
    <w:rsid w:val="008D7E09"/>
    <w:rsid w:val="008E45FB"/>
    <w:rsid w:val="008E69F1"/>
    <w:rsid w:val="009058EB"/>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44A7D"/>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56C9"/>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97796"/>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FAE784"/>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985E-BF24-431E-99DD-64CD5766F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2</Pages>
  <Words>599</Words>
  <Characters>3417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124</cp:revision>
  <cp:lastPrinted>2020-08-03T08:24:00Z</cp:lastPrinted>
  <dcterms:created xsi:type="dcterms:W3CDTF">2019-09-10T08:41:00Z</dcterms:created>
  <dcterms:modified xsi:type="dcterms:W3CDTF">2025-05-06T09:16:00Z</dcterms:modified>
</cp:coreProperties>
</file>