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2"/>
        <w:jc w:val="right"/>
        <w:rPr>
          <w:rFonts w:ascii="Times New Roman" w:hAnsi="Times New Roman" w:cs="Times New Roman"/>
          <w:sz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0"/>
        </w:rPr>
        <w:t xml:space="preserve">Приложение </w:t>
      </w:r>
      <w:r>
        <w:rPr>
          <w:rFonts w:ascii="Times New Roman" w:hAnsi="Times New Roman" w:cs="Times New Roman"/>
          <w:sz w:val="20"/>
        </w:rPr>
        <w:t xml:space="preserve">17</w:t>
      </w:r>
      <w:r/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9384"/>
        <w:gridCol w:w="236"/>
      </w:tblGrid>
      <w:tr>
        <w:trPr>
          <w:trHeight w:val="315"/>
        </w:trPr>
        <w:tc>
          <w:tcPr>
            <w:shd w:val="clear" w:color="auto" w:fill="auto"/>
            <w:tcW w:w="9384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тридцать четвертой сессии</w:t>
            </w:r>
            <w:r/>
          </w:p>
        </w:tc>
        <w:tc>
          <w:tcPr>
            <w:tcW w:w="2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>
          <w:trHeight w:val="315"/>
        </w:trPr>
        <w:tc>
          <w:tcPr>
            <w:shd w:val="clear" w:color="auto" w:fill="auto"/>
            <w:tcW w:w="9384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Тогучинского района Новосибирской области </w:t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четвертого созыва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 бюджете Тогучинского район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Новосибирской области на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плановый период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годов "</w:t>
            </w:r>
            <w:r/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23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  <w:tr>
        <w:trPr>
          <w:trHeight w:val="315"/>
        </w:trPr>
        <w:tc>
          <w:tcPr>
            <w:tcW w:w="9384" w:type="dxa"/>
            <w:textDirection w:val="lrTb"/>
            <w:noWrap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  <w:tc>
          <w:tcPr>
            <w:tcW w:w="236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/>
          </w:p>
        </w:tc>
      </w:tr>
    </w:tbl>
    <w:p>
      <w:pPr>
        <w:jc w:val="right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606"/>
        <w:jc w:val="right"/>
        <w:rPr>
          <w:szCs w:val="28"/>
        </w:rPr>
      </w:pPr>
      <w:r>
        <w:rPr>
          <w:szCs w:val="28"/>
        </w:rPr>
      </w:r>
      <w:r/>
    </w:p>
    <w:p>
      <w:pPr>
        <w:pStyle w:val="606"/>
        <w:rPr>
          <w:szCs w:val="28"/>
        </w:rPr>
      </w:pPr>
      <w:r>
        <w:rPr>
          <w:szCs w:val="28"/>
        </w:rPr>
        <w:t xml:space="preserve">Положение</w:t>
      </w:r>
      <w:r/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условиях и порядке предоставления бюджетных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кредитов </w:t>
      </w:r>
      <w:r/>
    </w:p>
    <w:p>
      <w:pPr>
        <w:pStyle w:val="6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2"/>
        <w:jc w:val="center"/>
        <w:tabs>
          <w:tab w:val="center" w:pos="4677" w:leader="none"/>
          <w:tab w:val="left" w:pos="8593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  <w:szCs w:val="28"/>
        </w:rPr>
        <w:t xml:space="preserve">. Общие положения</w:t>
      </w:r>
      <w:r/>
    </w:p>
    <w:p>
      <w:pPr>
        <w:pStyle w:val="602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2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</w:t>
      </w:r>
      <w:r>
        <w:rPr>
          <w:rFonts w:ascii="Times New Roman" w:hAnsi="Times New Roman" w:cs="Times New Roman"/>
          <w:sz w:val="28"/>
          <w:szCs w:val="28"/>
        </w:rPr>
        <w:t xml:space="preserve">Настоящее Положение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о статьей 93.2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ooltip="consultantplus://offline/ref=19C04FE5D1DC4E5E9D0689F71000DD382E6FAD73B3F2EB2F0FCC09C625B540B1F26D85FCFC6CA4ZBK" w:history="1">
        <w:r>
          <w:rPr>
            <w:rFonts w:ascii="Times New Roman" w:hAnsi="Times New Roman" w:cs="Times New Roman"/>
            <w:sz w:val="28"/>
            <w:szCs w:val="28"/>
          </w:rPr>
          <w:t xml:space="preserve">кодекс</w:t>
        </w:r>
        <w:r>
          <w:rPr>
            <w:rFonts w:ascii="Times New Roman" w:hAnsi="Times New Roman" w:cs="Times New Roman"/>
            <w:sz w:val="28"/>
            <w:szCs w:val="28"/>
          </w:rPr>
          <w:t xml:space="preserve">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устанавливает цели и </w:t>
      </w:r>
      <w:hyperlink r:id="rId10" w:tooltip="consultantplus://offline/ref=19C04FE5D1DC4E5E9D0689F71000DD382E6FAD73B3F2EB2F0FCC09C625B540B1F26D85FEF06DA4ZEK" w:history="1">
        <w:r>
          <w:rPr>
            <w:rFonts w:ascii="Times New Roman" w:hAnsi="Times New Roman" w:cs="Times New Roman"/>
            <w:sz w:val="28"/>
            <w:szCs w:val="28"/>
          </w:rPr>
          <w:t xml:space="preserve">условия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предос</w:t>
      </w:r>
      <w:r>
        <w:rPr>
          <w:rFonts w:ascii="Times New Roman" w:hAnsi="Times New Roman" w:cs="Times New Roman"/>
          <w:sz w:val="28"/>
          <w:szCs w:val="28"/>
        </w:rPr>
        <w:t xml:space="preserve">тавления бюджетных кредитов из </w:t>
      </w:r>
      <w:r>
        <w:rPr>
          <w:rFonts w:ascii="Times New Roman" w:hAnsi="Times New Roman" w:cs="Times New Roman"/>
          <w:sz w:val="28"/>
          <w:szCs w:val="28"/>
        </w:rPr>
        <w:t xml:space="preserve">бюджета</w:t>
      </w:r>
      <w:r>
        <w:rPr>
          <w:rFonts w:ascii="Times New Roman" w:hAnsi="Times New Roman" w:cs="Times New Roman"/>
          <w:sz w:val="28"/>
          <w:szCs w:val="28"/>
        </w:rPr>
        <w:t xml:space="preserve"> Тогучинского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</w:t>
      </w:r>
      <w:r>
        <w:rPr>
          <w:rFonts w:ascii="Times New Roman" w:hAnsi="Times New Roman" w:cs="Times New Roman"/>
          <w:sz w:val="28"/>
          <w:szCs w:val="28"/>
        </w:rPr>
        <w:noBreakHyphen/>
      </w:r>
      <w:r>
        <w:rPr>
          <w:rFonts w:ascii="Times New Roman" w:hAnsi="Times New Roman" w:cs="Times New Roman"/>
          <w:sz w:val="28"/>
          <w:szCs w:val="28"/>
        </w:rPr>
        <w:t xml:space="preserve"> бюджетные </w:t>
      </w:r>
      <w:r>
        <w:rPr>
          <w:rFonts w:ascii="Times New Roman" w:hAnsi="Times New Roman" w:cs="Times New Roman"/>
          <w:sz w:val="28"/>
          <w:szCs w:val="28"/>
        </w:rPr>
        <w:t xml:space="preserve">кредиты)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предоставляемых</w:t>
      </w:r>
      <w:r>
        <w:rPr>
          <w:rFonts w:ascii="Times New Roman" w:hAnsi="Times New Roman" w:cs="Times New Roman"/>
          <w:sz w:val="28"/>
          <w:szCs w:val="28"/>
        </w:rPr>
        <w:t xml:space="preserve"> бюджетам </w:t>
      </w:r>
      <w:r>
        <w:rPr>
          <w:rFonts w:ascii="Times New Roman" w:hAnsi="Times New Roman" w:cs="Times New Roman"/>
          <w:sz w:val="28"/>
          <w:szCs w:val="28"/>
        </w:rPr>
        <w:t xml:space="preserve">городским и сельским поселений </w:t>
      </w:r>
      <w:r>
        <w:rPr>
          <w:rFonts w:ascii="Times New Roman" w:hAnsi="Times New Roman" w:cs="Times New Roman"/>
          <w:sz w:val="28"/>
          <w:szCs w:val="28"/>
        </w:rPr>
        <w:t xml:space="preserve">Тогучинского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(далее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бюджеты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 xml:space="preserve"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условия реструктуризации обязательств (задолженности) по бюджетным кредитам, а также по уплате процентов, начисленных за фактический срок пользования бюджетными кредитами, уплате пеней и штрафов (далее – реструктуризация)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02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Предоставление бюджетных кредитов </w:t>
      </w:r>
      <w:r>
        <w:rPr>
          <w:rFonts w:ascii="Times New Roman" w:hAnsi="Times New Roman" w:cs="Times New Roman"/>
          <w:sz w:val="28"/>
          <w:szCs w:val="28"/>
        </w:rPr>
        <w:t xml:space="preserve">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 xml:space="preserve">, использование и возврат </w:t>
      </w:r>
      <w:r>
        <w:rPr>
          <w:rFonts w:ascii="Times New Roman" w:hAnsi="Times New Roman" w:cs="Times New Roman"/>
          <w:sz w:val="28"/>
          <w:szCs w:val="28"/>
        </w:rPr>
        <w:t xml:space="preserve">бюджетных кредитов </w:t>
      </w:r>
      <w:r>
        <w:rPr>
          <w:rFonts w:ascii="Times New Roman" w:hAnsi="Times New Roman" w:cs="Times New Roman"/>
          <w:sz w:val="28"/>
          <w:szCs w:val="28"/>
        </w:rPr>
        <w:t xml:space="preserve">бюджетами поселений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осуществляются в порядке, установленном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Тогучинского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области.</w:t>
      </w:r>
      <w:r/>
    </w:p>
    <w:p>
      <w:pPr>
        <w:pStyle w:val="602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Отчет о предоставлении и возврате бюджетных кредитов </w:t>
      </w:r>
      <w:r>
        <w:rPr>
          <w:rFonts w:ascii="Times New Roman" w:hAnsi="Times New Roman" w:cs="Times New Roman"/>
          <w:sz w:val="28"/>
          <w:szCs w:val="28"/>
        </w:rPr>
        <w:t xml:space="preserve">за очередной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представляется в </w:t>
      </w:r>
      <w:r>
        <w:rPr>
          <w:rFonts w:ascii="Times New Roman" w:hAnsi="Times New Roman" w:cs="Times New Roman"/>
          <w:sz w:val="28"/>
          <w:szCs w:val="28"/>
        </w:rPr>
        <w:t xml:space="preserve">Совет депутатов Тогучинского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и </w:t>
      </w:r>
      <w:r>
        <w:rPr>
          <w:rFonts w:ascii="Times New Roman" w:hAnsi="Times New Roman" w:cs="Times New Roman"/>
          <w:sz w:val="28"/>
          <w:szCs w:val="28"/>
        </w:rPr>
        <w:t xml:space="preserve">Ревизионную комиссию Тогучинского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совместно с</w:t>
      </w:r>
      <w:r>
        <w:rPr>
          <w:rFonts w:ascii="Times New Roman" w:hAnsi="Times New Roman" w:cs="Times New Roman"/>
          <w:sz w:val="28"/>
          <w:szCs w:val="28"/>
        </w:rPr>
        <w:t xml:space="preserve"> годовым отчетом об исполнении </w:t>
      </w:r>
      <w:r>
        <w:rPr>
          <w:rFonts w:ascii="Times New Roman" w:hAnsi="Times New Roman" w:cs="Times New Roman"/>
          <w:sz w:val="28"/>
          <w:szCs w:val="28"/>
        </w:rPr>
        <w:t xml:space="preserve">бюджета Тогучинского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порядке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Тогучинского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 бюджетном процессе.</w:t>
      </w:r>
      <w:r/>
    </w:p>
    <w:p>
      <w:pPr>
        <w:pStyle w:val="602"/>
        <w:contextualSpacing/>
        <w:tabs>
          <w:tab w:val="left" w:pos="827" w:leader="none"/>
          <w:tab w:val="left" w:pos="188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/>
    </w:p>
    <w:p>
      <w:pPr>
        <w:pStyle w:val="602"/>
        <w:contextualSpacing/>
        <w:jc w:val="center"/>
        <w:tabs>
          <w:tab w:val="left" w:pos="1809" w:leader="none"/>
          <w:tab w:val="center" w:pos="5315" w:leader="none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b/>
          <w:sz w:val="28"/>
          <w:szCs w:val="28"/>
        </w:rPr>
        <w:t xml:space="preserve">. Цели и условия предоставления бюджетных кредитов бюджетам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поселений</w:t>
      </w:r>
      <w:r/>
    </w:p>
    <w:p>
      <w:pPr>
        <w:pStyle w:val="602"/>
        <w:contextualSpacing/>
        <w:jc w:val="center"/>
        <w:tabs>
          <w:tab w:val="left" w:pos="1809" w:leader="none"/>
          <w:tab w:val="center" w:pos="531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2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</w:t>
      </w:r>
      <w:r>
        <w:rPr>
          <w:rFonts w:ascii="Times New Roman" w:hAnsi="Times New Roman" w:cs="Times New Roman"/>
          <w:sz w:val="28"/>
          <w:szCs w:val="28"/>
        </w:rPr>
        <w:t xml:space="preserve">Б</w:t>
      </w:r>
      <w:r>
        <w:rPr>
          <w:rFonts w:ascii="Times New Roman" w:hAnsi="Times New Roman" w:cs="Times New Roman"/>
          <w:sz w:val="28"/>
          <w:szCs w:val="28"/>
        </w:rPr>
        <w:t xml:space="preserve">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на следующие цели:</w:t>
      </w:r>
      <w:r/>
    </w:p>
    <w:p>
      <w:pPr>
        <w:pStyle w:val="602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покрытие временных кассовых разрывов, возникающих при исполнении бюджетов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/>
    </w:p>
    <w:p>
      <w:pPr>
        <w:pStyle w:val="602"/>
        <w:contextualSpacing/>
        <w:ind w:firstLine="709"/>
        <w:jc w:val="both"/>
        <w:tabs>
          <w:tab w:val="left" w:pos="770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частичное покрытие дефицитов бюджетов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ab/>
      </w:r>
      <w:r/>
    </w:p>
    <w:p>
      <w:pPr>
        <w:pStyle w:val="602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ликвидация последствий чрезвычайных ситуаций и стихийных бедствий;</w:t>
      </w:r>
      <w:r/>
    </w:p>
    <w:p>
      <w:pPr>
        <w:pStyle w:val="602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строительство, реконструкция, капитальный ремонт, ремонт объектов социально-культурной сферы и транспортно-дорожной инфраструктуры;</w:t>
      </w:r>
      <w:r/>
    </w:p>
    <w:p>
      <w:pPr>
        <w:pStyle w:val="602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иные цели за счет целевых </w:t>
      </w:r>
      <w:r>
        <w:rPr>
          <w:rFonts w:ascii="Times New Roman" w:hAnsi="Times New Roman" w:cs="Times New Roman"/>
          <w:sz w:val="28"/>
          <w:szCs w:val="28"/>
        </w:rPr>
        <w:t xml:space="preserve">бюджетных кредитов, получаемых </w:t>
      </w:r>
      <w:r>
        <w:rPr>
          <w:rFonts w:ascii="Times New Roman" w:hAnsi="Times New Roman" w:cs="Times New Roman"/>
          <w:sz w:val="28"/>
          <w:szCs w:val="28"/>
        </w:rPr>
        <w:t xml:space="preserve">бюджетом </w:t>
      </w:r>
      <w:r>
        <w:rPr>
          <w:rFonts w:ascii="Times New Roman" w:hAnsi="Times New Roman" w:cs="Times New Roman"/>
          <w:sz w:val="28"/>
          <w:szCs w:val="28"/>
        </w:rPr>
        <w:t xml:space="preserve">Тогучинского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 xml:space="preserve">бюджет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областного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</w:t>
      </w:r>
      <w:r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 xml:space="preserve">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>
        <w:rPr>
          <w:rFonts w:ascii="Times New Roman" w:hAnsi="Times New Roman" w:cs="Times New Roman"/>
          <w:sz w:val="28"/>
          <w:szCs w:val="28"/>
        </w:rPr>
        <w:t xml:space="preserve"> бюджетные кредиты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целевой, </w:t>
      </w:r>
      <w:r>
        <w:rPr>
          <w:rFonts w:ascii="Times New Roman" w:hAnsi="Times New Roman" w:cs="Times New Roman"/>
          <w:sz w:val="28"/>
          <w:szCs w:val="28"/>
        </w:rPr>
        <w:t xml:space="preserve">возвратной </w:t>
      </w:r>
      <w:r>
        <w:rPr>
          <w:rFonts w:ascii="Times New Roman" w:hAnsi="Times New Roman" w:cs="Times New Roman"/>
          <w:sz w:val="28"/>
          <w:szCs w:val="28"/>
        </w:rPr>
        <w:t xml:space="preserve">основе 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установлением платы за пользование бюджетными кредитами, указанной в </w:t>
      </w:r>
      <w:hyperlink w:tooltip="#P35" w:anchor="P35" w:history="1">
        <w:r>
          <w:rPr>
            <w:rFonts w:ascii="Times New Roman" w:hAnsi="Times New Roman"/>
            <w:sz w:val="28"/>
            <w:szCs w:val="28"/>
          </w:rPr>
          <w:t xml:space="preserve">пункте 5.1</w:t>
        </w:r>
      </w:hyperlink>
      <w:r>
        <w:rPr>
          <w:rFonts w:ascii="Times New Roman" w:hAnsi="Times New Roman"/>
          <w:sz w:val="28"/>
          <w:szCs w:val="28"/>
        </w:rPr>
        <w:t xml:space="preserve"> настоящего Положения, при соблюдении муниципальными образованиями следующих условий: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отсутствие просроченной (неурегулированной) задолженности по денежным обязательствам перед Тогучинским районом Новосибирской областью;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соблюдение требований, предусмотренных Бюджетным </w:t>
      </w:r>
      <w:hyperlink r:id="rId11" w:tooltip="consultantplus://offline/ref=D1AB6CE877BFACD6C5F09EEB099F8B65C1CFA6A70A5A5AC417280BF6A2123292141E5645CE51F2229A89ADAF4E3663G" w:history="1">
        <w:r>
          <w:rPr>
            <w:rFonts w:ascii="Times New Roman" w:hAnsi="Times New Roman"/>
            <w:sz w:val="28"/>
            <w:szCs w:val="28"/>
          </w:rPr>
          <w:t xml:space="preserve">кодексом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в части предельного размера дефицита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, предельного объема муниципального долга, предельного объема расходов на обслуживание муниципального долга в соответствии с отчетом об исполнении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за отчетный финансовый год, решением о местном бюджете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на текущий финансовый год и отчетами об исполнении местного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 (за исключением бюджетных кредитов на покрытие временных кассовых разрывов, возникающих при исполнении местных бюджетов</w:t>
      </w:r>
      <w:r>
        <w:rPr>
          <w:rFonts w:ascii="Times New Roman" w:hAnsi="Times New Roman"/>
          <w:sz w:val="28"/>
          <w:szCs w:val="28"/>
        </w:rPr>
        <w:t xml:space="preserve"> поселений</w:t>
      </w:r>
      <w:r>
        <w:rPr>
          <w:rFonts w:ascii="Times New Roman" w:hAnsi="Times New Roman"/>
          <w:sz w:val="28"/>
          <w:szCs w:val="28"/>
        </w:rPr>
        <w:t xml:space="preserve">, на ликвидацию последствий чрезвычайных ситуаций и стихийных бедствий);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предоставление обеспечения исполнения обязательств по во</w:t>
      </w:r>
      <w:r>
        <w:rPr>
          <w:rFonts w:ascii="Times New Roman" w:hAnsi="Times New Roman"/>
          <w:sz w:val="28"/>
          <w:szCs w:val="28"/>
        </w:rPr>
        <w:t xml:space="preserve">зврату бюджетного кредита (далее - обеспечение обязательств) на условиях, установленных бюджетным законодательством Российской Федерации (за исключением бюджетных кредитов на покрытие временных кассовых разрывов, возникающих при исполнении местных бюджетов</w:t>
      </w:r>
      <w:r>
        <w:rPr>
          <w:rFonts w:ascii="Times New Roman" w:hAnsi="Times New Roman"/>
          <w:sz w:val="28"/>
          <w:szCs w:val="28"/>
        </w:rPr>
        <w:t xml:space="preserve"> поселений</w:t>
      </w:r>
      <w:r>
        <w:rPr>
          <w:rFonts w:ascii="Times New Roman" w:hAnsi="Times New Roman"/>
          <w:sz w:val="28"/>
          <w:szCs w:val="28"/>
        </w:rPr>
        <w:t xml:space="preserve">, на ликвидацию последствий чрезвычайных ситуаций и стихийных бедствий);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включение в договор о предоставлении бюджетного кредита условий о согласии получателя бюджетного кредита на осуществление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 xml:space="preserve">Тогучинского района Новосибирской области  и органом муниципального финансового контроля  Тогучинского района Новосибирской области пров</w:t>
      </w:r>
      <w:r>
        <w:rPr>
          <w:rFonts w:ascii="Times New Roman" w:hAnsi="Times New Roman"/>
          <w:sz w:val="28"/>
          <w:szCs w:val="28"/>
        </w:rPr>
        <w:t xml:space="preserve">ерок соблюдения получателем бюджетного кредита условий, целей и порядка предоставления бюджетного кредита,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Федерации;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включение в договор о предоставлении бюджетного кредита условия об обеспеч</w:t>
      </w:r>
      <w:r>
        <w:rPr>
          <w:rFonts w:ascii="Times New Roman" w:hAnsi="Times New Roman"/>
          <w:sz w:val="28"/>
          <w:szCs w:val="28"/>
        </w:rPr>
        <w:t xml:space="preserve">ении возможности привлечения в</w:t>
      </w:r>
      <w:r>
        <w:rPr>
          <w:rFonts w:ascii="Times New Roman" w:hAnsi="Times New Roman"/>
          <w:sz w:val="28"/>
          <w:szCs w:val="28"/>
        </w:rPr>
        <w:t xml:space="preserve"> бюджет </w:t>
      </w:r>
      <w:r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кредитов от кредитных организаций</w:t>
      </w:r>
      <w:bookmarkStart w:id="1" w:name="P35"/>
      <w:r/>
      <w:bookmarkEnd w:id="1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5.1. Плата за пользование бюджетными кредитами устанавливается в форме уплаты процентов годовых в следующих размерах: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при предоставлении бюджетных кредитов на цель, указанную в подпункте 1 пункта 4 настоящего Положения, - в размере, равном 0,1 процента годовых;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при предостав</w:t>
      </w:r>
      <w:r>
        <w:rPr>
          <w:rFonts w:ascii="Times New Roman" w:hAnsi="Times New Roman"/>
          <w:sz w:val="28"/>
          <w:szCs w:val="28"/>
        </w:rPr>
        <w:t xml:space="preserve">лении бюджетных кредитов на цели</w:t>
      </w:r>
      <w:r>
        <w:rPr>
          <w:rFonts w:ascii="Times New Roman" w:hAnsi="Times New Roman"/>
          <w:sz w:val="28"/>
          <w:szCs w:val="28"/>
        </w:rPr>
        <w:t xml:space="preserve">, у</w:t>
      </w:r>
      <w:r>
        <w:rPr>
          <w:rFonts w:ascii="Times New Roman" w:hAnsi="Times New Roman"/>
          <w:sz w:val="28"/>
          <w:szCs w:val="28"/>
        </w:rPr>
        <w:t xml:space="preserve">казанные в подпунктах 2 - 5 пункта 4 настоящего Положения, - в размере, равном ключевой ставке Банка России, действующей на день заключения договора о предоставлении бюджетного кредита, за исключением случая, предусмотренного пунктом 7 настоящего Положения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При предоставлении обеспечения обязательств </w:t>
      </w:r>
      <w:r>
        <w:rPr>
          <w:rFonts w:ascii="Times New Roman" w:hAnsi="Times New Roman"/>
          <w:sz w:val="28"/>
          <w:szCs w:val="28"/>
        </w:rPr>
        <w:t xml:space="preserve">поселение </w:t>
      </w:r>
      <w:r>
        <w:rPr>
          <w:rFonts w:ascii="Times New Roman" w:hAnsi="Times New Roman"/>
          <w:sz w:val="28"/>
          <w:szCs w:val="28"/>
        </w:rPr>
        <w:t xml:space="preserve">обязано соблюдать требования соответствующих положений гражданского и иного законодательства Российской Федерации, в том числе Федерального закона от </w:t>
      </w:r>
      <w:r>
        <w:rPr>
          <w:rFonts w:ascii="Times New Roman" w:hAnsi="Times New Roman"/>
          <w:sz w:val="28"/>
          <w:szCs w:val="28"/>
        </w:rPr>
        <w:t xml:space="preserve">16.07.1998 </w:t>
      </w:r>
      <w:r>
        <w:rPr>
          <w:rFonts w:ascii="Times New Roman" w:hAnsi="Times New Roman"/>
          <w:sz w:val="28"/>
          <w:szCs w:val="28"/>
        </w:rPr>
        <w:t xml:space="preserve">№</w:t>
      </w:r>
      <w:r>
        <w:rPr>
          <w:rFonts w:ascii="Times New Roman" w:hAnsi="Times New Roman"/>
          <w:sz w:val="28"/>
          <w:szCs w:val="28"/>
        </w:rPr>
        <w:t xml:space="preserve"> 102-ФЗ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Об ипотеке (залоге недвижимости)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, а при осуществлении в целях предоставления обеспечения обязательств оценки принадлежащих </w:t>
      </w:r>
      <w:r>
        <w:rPr>
          <w:rFonts w:ascii="Times New Roman" w:hAnsi="Times New Roman"/>
          <w:sz w:val="28"/>
          <w:szCs w:val="28"/>
        </w:rPr>
        <w:t xml:space="preserve">поселению </w:t>
      </w:r>
      <w:r>
        <w:rPr>
          <w:rFonts w:ascii="Times New Roman" w:hAnsi="Times New Roman"/>
          <w:sz w:val="28"/>
          <w:szCs w:val="28"/>
        </w:rPr>
        <w:t xml:space="preserve">на праве собственности объектов недвижимости - предоставлять субъектам оценочной деятельности все документы и материалы, связанные с возникновением, изменением и прекра</w:t>
      </w:r>
      <w:r>
        <w:rPr>
          <w:rFonts w:ascii="Times New Roman" w:hAnsi="Times New Roman"/>
          <w:sz w:val="28"/>
          <w:szCs w:val="28"/>
        </w:rPr>
        <w:t xml:space="preserve">щением прав на оцениваемое имущество муниципального образования и третьих лиц, в том числе связанные с его обременениями, требовать от субъектов оценочной деятельности учитывать указанные положения законодательства при осуществлении оценочной деятельности.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/>
      <w:bookmarkStart w:id="2" w:name="P40"/>
      <w:r/>
      <w:bookmarkEnd w:id="2"/>
      <w:r>
        <w:rPr>
          <w:rFonts w:ascii="Times New Roman" w:hAnsi="Times New Roman"/>
          <w:sz w:val="28"/>
          <w:szCs w:val="28"/>
        </w:rPr>
        <w:t xml:space="preserve">7.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Бюджетные кредиты, предоставляемые за счет бюджетных кредитов, полученных из </w:t>
      </w:r>
      <w:r>
        <w:rPr>
          <w:rFonts w:ascii="Times New Roman" w:hAnsi="Times New Roman"/>
          <w:sz w:val="28"/>
          <w:szCs w:val="28"/>
        </w:rPr>
        <w:t xml:space="preserve">областного</w:t>
      </w:r>
      <w:r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 xml:space="preserve">овосибирской области</w:t>
      </w:r>
      <w:r>
        <w:rPr>
          <w:rFonts w:ascii="Times New Roman" w:hAnsi="Times New Roman"/>
          <w:sz w:val="28"/>
          <w:szCs w:val="28"/>
        </w:rPr>
        <w:t xml:space="preserve">, предоставляются с учетом условий соответствующих договоров (соглашений), заключенных с </w:t>
      </w:r>
      <w:r>
        <w:rPr>
          <w:rFonts w:ascii="Times New Roman" w:hAnsi="Times New Roman"/>
          <w:sz w:val="28"/>
          <w:szCs w:val="28"/>
        </w:rPr>
        <w:t xml:space="preserve">областными </w:t>
      </w:r>
      <w:r>
        <w:rPr>
          <w:rFonts w:ascii="Times New Roman" w:hAnsi="Times New Roman"/>
          <w:sz w:val="28"/>
          <w:szCs w:val="28"/>
        </w:rPr>
        <w:t xml:space="preserve">органами исполнительной власти</w:t>
      </w:r>
      <w:r>
        <w:rPr>
          <w:rFonts w:ascii="Times New Roman" w:hAnsi="Times New Roman"/>
          <w:sz w:val="28"/>
          <w:szCs w:val="28"/>
        </w:rPr>
        <w:t xml:space="preserve"> Новосибирской области</w:t>
      </w:r>
      <w:r>
        <w:rPr>
          <w:rFonts w:ascii="Times New Roman" w:hAnsi="Times New Roman"/>
          <w:sz w:val="28"/>
          <w:szCs w:val="28"/>
        </w:rPr>
        <w:t xml:space="preserve">, предоставившими бюджетные кредиты. Указанные бюджетные кредиты могут предоставляться на возмездной основе и (или) без предоставления обеспечения обязательств.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</w:t>
      </w:r>
      <w:r>
        <w:rPr>
          <w:rFonts w:ascii="Times New Roman" w:hAnsi="Times New Roman"/>
          <w:sz w:val="28"/>
          <w:szCs w:val="28"/>
        </w:rPr>
        <w:t xml:space="preserve"> </w:t>
      </w:r>
      <w:r>
        <w:rPr>
          <w:rFonts w:ascii="Times New Roman" w:hAnsi="Times New Roman"/>
          <w:sz w:val="28"/>
          <w:szCs w:val="28"/>
        </w:rPr>
        <w:t xml:space="preserve">Бюджетный кредит на покрытие временных кассовых разры</w:t>
      </w:r>
      <w:r>
        <w:rPr>
          <w:rFonts w:ascii="Times New Roman" w:hAnsi="Times New Roman"/>
          <w:sz w:val="28"/>
          <w:szCs w:val="28"/>
        </w:rPr>
        <w:t xml:space="preserve">вов, возникающих при исполнении </w:t>
      </w:r>
      <w:r>
        <w:rPr>
          <w:rFonts w:ascii="Times New Roman" w:hAnsi="Times New Roman"/>
          <w:sz w:val="28"/>
          <w:szCs w:val="28"/>
        </w:rPr>
        <w:t xml:space="preserve">бюджетов</w:t>
      </w:r>
      <w:r>
        <w:rPr>
          <w:rFonts w:ascii="Times New Roman" w:hAnsi="Times New Roman"/>
          <w:sz w:val="28"/>
          <w:szCs w:val="28"/>
        </w:rPr>
        <w:t xml:space="preserve"> поселений</w:t>
      </w:r>
      <w:r>
        <w:rPr>
          <w:rFonts w:ascii="Times New Roman" w:hAnsi="Times New Roman"/>
          <w:sz w:val="28"/>
          <w:szCs w:val="28"/>
        </w:rPr>
        <w:t xml:space="preserve"> предоставляется на срок, не выходящий за пределы финансового года, в котором предоставляется бюджетный кредит.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9. </w:t>
      </w:r>
      <w:r>
        <w:rPr>
          <w:rFonts w:ascii="Times New Roman" w:hAnsi="Times New Roman"/>
          <w:sz w:val="28"/>
          <w:szCs w:val="28"/>
        </w:rPr>
        <w:t xml:space="preserve">Б</w:t>
      </w:r>
      <w:r>
        <w:rPr>
          <w:rFonts w:ascii="Times New Roman" w:hAnsi="Times New Roman"/>
          <w:sz w:val="28"/>
          <w:szCs w:val="28"/>
        </w:rPr>
        <w:t xml:space="preserve">юджету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, в отношении которого осуществляются меры, предусмотренные пунктом 4 статьи 136 Бюджетного кодекса Российской Федерации, бюджетные кредиты на покрытие временных кассовых разрывов, возникающих при исполнении местного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, предост</w:t>
      </w:r>
      <w:r>
        <w:rPr>
          <w:rFonts w:ascii="Times New Roman" w:hAnsi="Times New Roman"/>
          <w:sz w:val="28"/>
          <w:szCs w:val="28"/>
        </w:rPr>
        <w:t xml:space="preserve">авляются при условии получения</w:t>
      </w:r>
      <w:r>
        <w:rPr>
          <w:rFonts w:ascii="Times New Roman" w:hAnsi="Times New Roman"/>
          <w:sz w:val="28"/>
          <w:szCs w:val="28"/>
        </w:rPr>
        <w:t xml:space="preserve"> бюджетом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>
        <w:rPr>
          <w:rFonts w:ascii="Times New Roman" w:hAnsi="Times New Roman"/>
          <w:sz w:val="28"/>
          <w:szCs w:val="28"/>
        </w:rPr>
        <w:t xml:space="preserve"> дотаций на выравнивание бюджетной обеспеченности, субсидий на поддержку мер по обеспечению сбалансированности местного бюджета в размере не менее 100 процентов от запланированного объема.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0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02"/>
        <w:contextualSpacing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</w:t>
      </w:r>
      <w:r>
        <w:rPr>
          <w:rFonts w:ascii="Times New Roman" w:hAnsi="Times New Roman" w:cs="Times New Roman"/>
          <w:b/>
          <w:sz w:val="28"/>
          <w:szCs w:val="28"/>
        </w:rPr>
        <w:t xml:space="preserve">. Контроль за </w:t>
      </w:r>
      <w:r>
        <w:rPr>
          <w:rFonts w:ascii="Times New Roman" w:hAnsi="Times New Roman" w:cs="Times New Roman"/>
          <w:b/>
          <w:sz w:val="28"/>
          <w:szCs w:val="28"/>
        </w:rPr>
        <w:t xml:space="preserve">соблюдением обязательств</w:t>
      </w:r>
      <w:r/>
    </w:p>
    <w:p>
      <w:pPr>
        <w:pStyle w:val="602"/>
        <w:contextualSpacing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02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целей, порядка предоставления и возврата бюджетного кредита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соответствующим договором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>
        <w:rPr>
          <w:rFonts w:ascii="Times New Roman" w:hAnsi="Times New Roman" w:cs="Times New Roman"/>
          <w:sz w:val="28"/>
          <w:szCs w:val="28"/>
        </w:rPr>
        <w:t xml:space="preserve">финансов</w:t>
      </w:r>
      <w:r>
        <w:rPr>
          <w:rFonts w:ascii="Times New Roman" w:hAnsi="Times New Roman" w:cs="Times New Roman"/>
          <w:sz w:val="28"/>
          <w:szCs w:val="28"/>
        </w:rPr>
        <w:t xml:space="preserve">ый органом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Тогучинского района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финансовый орган</w:t>
      </w:r>
      <w:r>
        <w:rPr>
          <w:rFonts w:ascii="Times New Roman" w:hAnsi="Times New Roman" w:cs="Times New Roman"/>
          <w:sz w:val="28"/>
          <w:szCs w:val="28"/>
        </w:rPr>
        <w:t xml:space="preserve">), который</w:t>
      </w:r>
      <w:r>
        <w:rPr>
          <w:rFonts w:ascii="Times New Roman" w:hAnsi="Times New Roman" w:cs="Times New Roman"/>
          <w:sz w:val="28"/>
          <w:szCs w:val="28"/>
        </w:rPr>
        <w:t xml:space="preserve"> ведет учет </w:t>
      </w:r>
      <w:r>
        <w:rPr>
          <w:rFonts w:ascii="Times New Roman" w:hAnsi="Times New Roman" w:cs="Times New Roman"/>
          <w:sz w:val="28"/>
          <w:szCs w:val="28"/>
        </w:rPr>
        <w:t xml:space="preserve">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по возврату бюджетных кредитов и обеспечению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02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Финансовый орган </w:t>
      </w:r>
      <w:r>
        <w:rPr>
          <w:rFonts w:ascii="Times New Roman" w:hAnsi="Times New Roman" w:cs="Times New Roman"/>
          <w:sz w:val="28"/>
          <w:szCs w:val="28"/>
        </w:rPr>
        <w:t xml:space="preserve">на условиях</w:t>
      </w:r>
      <w:r>
        <w:rPr>
          <w:rFonts w:ascii="Times New Roman" w:hAnsi="Times New Roman" w:cs="Times New Roman"/>
          <w:sz w:val="28"/>
          <w:szCs w:val="28"/>
        </w:rPr>
        <w:t xml:space="preserve"> заключенных договоров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 бюджетного кредита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проверку ф</w:t>
      </w:r>
      <w:r>
        <w:rPr>
          <w:rFonts w:ascii="Times New Roman" w:hAnsi="Times New Roman" w:cs="Times New Roman"/>
          <w:sz w:val="28"/>
          <w:szCs w:val="28"/>
        </w:rPr>
        <w:t xml:space="preserve">инансового состояния заемщиков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гарантов, поручителей,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 xml:space="preserve">достаточности</w:t>
      </w:r>
      <w:r>
        <w:rPr>
          <w:rFonts w:ascii="Times New Roman" w:hAnsi="Times New Roman" w:cs="Times New Roman"/>
          <w:sz w:val="28"/>
          <w:szCs w:val="28"/>
        </w:rPr>
        <w:t xml:space="preserve"> суммы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предоставленного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в любое время </w:t>
      </w:r>
      <w:r>
        <w:rPr>
          <w:rFonts w:ascii="Times New Roman" w:hAnsi="Times New Roman" w:cs="Times New Roman"/>
          <w:sz w:val="28"/>
          <w:szCs w:val="28"/>
        </w:rPr>
        <w:t xml:space="preserve">в период </w:t>
      </w:r>
      <w:r>
        <w:rPr>
          <w:rFonts w:ascii="Times New Roman" w:hAnsi="Times New Roman" w:cs="Times New Roman"/>
          <w:sz w:val="28"/>
          <w:szCs w:val="28"/>
        </w:rPr>
        <w:t xml:space="preserve">действия договора о предоставлении бюджетного кредита и до полного исполнения обязательств по нему.</w:t>
      </w:r>
      <w:r/>
    </w:p>
    <w:p>
      <w:pPr>
        <w:pStyle w:val="602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Заемщик об</w:t>
      </w:r>
      <w:r>
        <w:rPr>
          <w:rFonts w:ascii="Times New Roman" w:hAnsi="Times New Roman" w:cs="Times New Roman"/>
          <w:sz w:val="28"/>
          <w:szCs w:val="28"/>
        </w:rPr>
        <w:t xml:space="preserve">язан представлять в </w:t>
      </w:r>
      <w:r>
        <w:rPr>
          <w:rFonts w:ascii="Times New Roman" w:hAnsi="Times New Roman" w:cs="Times New Roman"/>
          <w:sz w:val="28"/>
          <w:szCs w:val="28"/>
        </w:rPr>
        <w:t xml:space="preserve">финансовый орган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срок, установленный договором о предоставлении бюджетного кредита, информацию и отчет об использовании бюджетного кредита для осуществления контроля</w:t>
      </w:r>
      <w:r>
        <w:rPr>
          <w:rFonts w:ascii="Times New Roman" w:hAnsi="Times New Roman" w:cs="Times New Roman"/>
          <w:sz w:val="28"/>
          <w:szCs w:val="28"/>
        </w:rPr>
        <w:t xml:space="preserve"> за использованием бюджетного кредита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/>
    </w:p>
    <w:p>
      <w:pPr>
        <w:pStyle w:val="602"/>
        <w:contextualSpacing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</w:t>
      </w:r>
      <w:r>
        <w:rPr>
          <w:rFonts w:ascii="Times New Roman" w:hAnsi="Times New Roman" w:cs="Times New Roman"/>
          <w:sz w:val="28"/>
          <w:szCs w:val="28"/>
        </w:rPr>
        <w:t xml:space="preserve">аемщик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(гарант, поручитель)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обязан</w:t>
      </w:r>
      <w:r>
        <w:rPr>
          <w:rFonts w:ascii="Times New Roman" w:hAnsi="Times New Roman" w:cs="Times New Roman"/>
          <w:sz w:val="28"/>
          <w:szCs w:val="28"/>
        </w:rPr>
        <w:t xml:space="preserve"> представлять </w:t>
      </w:r>
      <w:r>
        <w:rPr>
          <w:rFonts w:ascii="Times New Roman" w:hAnsi="Times New Roman" w:cs="Times New Roman"/>
          <w:sz w:val="28"/>
          <w:szCs w:val="28"/>
        </w:rPr>
        <w:t xml:space="preserve">иную </w:t>
      </w:r>
      <w:r>
        <w:rPr>
          <w:rFonts w:ascii="Times New Roman" w:hAnsi="Times New Roman" w:cs="Times New Roman"/>
          <w:sz w:val="28"/>
          <w:szCs w:val="28"/>
        </w:rPr>
        <w:t xml:space="preserve">информацию и документы, запрашиваемые </w:t>
      </w:r>
      <w:r>
        <w:rPr>
          <w:rFonts w:ascii="Times New Roman" w:hAnsi="Times New Roman" w:cs="Times New Roman"/>
          <w:sz w:val="28"/>
          <w:szCs w:val="28"/>
        </w:rPr>
        <w:t xml:space="preserve">финансовым органом</w:t>
      </w:r>
      <w:r>
        <w:rPr>
          <w:rFonts w:ascii="Times New Roman" w:hAnsi="Times New Roman" w:cs="Times New Roman"/>
          <w:sz w:val="28"/>
          <w:szCs w:val="28"/>
        </w:rPr>
        <w:t xml:space="preserve">, на условиях, определяемых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соответствующими договорами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02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IV</w:t>
      </w:r>
      <w:r>
        <w:rPr>
          <w:rFonts w:ascii="Times New Roman" w:hAnsi="Times New Roman"/>
          <w:b/>
          <w:sz w:val="28"/>
          <w:szCs w:val="28"/>
        </w:rPr>
        <w:t xml:space="preserve">. Реструктуризация денежных обязательств (задолженности по денежным обязательствам) </w:t>
      </w:r>
      <w:r>
        <w:rPr>
          <w:rFonts w:ascii="Times New Roman" w:hAnsi="Times New Roman"/>
          <w:b/>
          <w:sz w:val="28"/>
          <w:szCs w:val="28"/>
        </w:rPr>
        <w:t xml:space="preserve">поселений</w:t>
      </w:r>
      <w:r>
        <w:rPr>
          <w:rFonts w:ascii="Times New Roman" w:hAnsi="Times New Roman"/>
          <w:b/>
          <w:sz w:val="28"/>
          <w:szCs w:val="28"/>
        </w:rPr>
        <w:t xml:space="preserve"> по возврату бюджетных кредитов, предоставленных бюджетам</w:t>
      </w:r>
      <w:r>
        <w:rPr>
          <w:rFonts w:ascii="Times New Roman" w:hAnsi="Times New Roman"/>
          <w:b/>
          <w:sz w:val="28"/>
          <w:szCs w:val="28"/>
        </w:rPr>
        <w:t xml:space="preserve"> поселений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 Денежные обязательства (задолженность по денежным обязательствам) </w:t>
      </w:r>
      <w:r>
        <w:rPr>
          <w:rFonts w:ascii="Times New Roman" w:hAnsi="Times New Roman"/>
          <w:sz w:val="28"/>
          <w:szCs w:val="28"/>
        </w:rPr>
        <w:t xml:space="preserve">поселений</w:t>
      </w:r>
      <w:r>
        <w:rPr>
          <w:rFonts w:ascii="Times New Roman" w:hAnsi="Times New Roman"/>
          <w:sz w:val="28"/>
          <w:szCs w:val="28"/>
        </w:rPr>
        <w:t xml:space="preserve"> по возврату бюджетных кредитов, предоставленных бюджетам</w:t>
      </w:r>
      <w:r>
        <w:rPr>
          <w:rFonts w:ascii="Times New Roman" w:hAnsi="Times New Roman"/>
          <w:sz w:val="28"/>
          <w:szCs w:val="28"/>
        </w:rPr>
        <w:t xml:space="preserve"> поселений</w:t>
      </w:r>
      <w:r>
        <w:rPr>
          <w:rFonts w:ascii="Times New Roman" w:hAnsi="Times New Roman"/>
          <w:sz w:val="28"/>
          <w:szCs w:val="28"/>
        </w:rPr>
        <w:t xml:space="preserve"> (далее – возврат бюджетных кредитов), могут быть урегулированы следующими способами: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предоставлением отсрочки или рассрочки исполнения обязательств по возврату бюджетных кредитов;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новацией обязательств по возврату бюджетных кредитов.</w:t>
      </w:r>
      <w:r/>
    </w:p>
    <w:p>
      <w:pPr>
        <w:pStyle w:val="60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 Основным условием урегулирования задолженности по возврату бюджетных кредитов является оценка финансового состояния заемщика.</w:t>
      </w:r>
      <w:r/>
    </w:p>
    <w:p>
      <w:pPr>
        <w:contextualSpacing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709"/>
        <w:jc w:val="both"/>
        <w:tabs>
          <w:tab w:val="left" w:pos="190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567" w:right="567" w:bottom="567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598"/>
    <w:next w:val="598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599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598"/>
    <w:next w:val="598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599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598"/>
    <w:next w:val="598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599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598"/>
    <w:next w:val="598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599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598"/>
    <w:next w:val="598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599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598"/>
    <w:next w:val="598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599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598"/>
    <w:next w:val="598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599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598"/>
    <w:next w:val="598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599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598"/>
    <w:next w:val="598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599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0">
    <w:name w:val="List Paragraph"/>
    <w:basedOn w:val="598"/>
    <w:uiPriority w:val="34"/>
    <w:qFormat/>
    <w:pPr>
      <w:contextualSpacing/>
      <w:ind w:left="720"/>
    </w:pPr>
  </w:style>
  <w:style w:type="paragraph" w:styleId="32">
    <w:name w:val="No Spacing"/>
    <w:uiPriority w:val="1"/>
    <w:qFormat/>
    <w:pPr>
      <w:spacing w:before="0" w:after="0" w:line="240" w:lineRule="auto"/>
    </w:pPr>
  </w:style>
  <w:style w:type="character" w:styleId="34">
    <w:name w:val="Title Char"/>
    <w:basedOn w:val="599"/>
    <w:link w:val="606"/>
    <w:uiPriority w:val="10"/>
    <w:rPr>
      <w:sz w:val="48"/>
      <w:szCs w:val="48"/>
    </w:rPr>
  </w:style>
  <w:style w:type="paragraph" w:styleId="35">
    <w:name w:val="Subtitle"/>
    <w:basedOn w:val="598"/>
    <w:next w:val="598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599"/>
    <w:link w:val="35"/>
    <w:uiPriority w:val="11"/>
    <w:rPr>
      <w:sz w:val="24"/>
      <w:szCs w:val="24"/>
    </w:rPr>
  </w:style>
  <w:style w:type="paragraph" w:styleId="37">
    <w:name w:val="Quote"/>
    <w:basedOn w:val="598"/>
    <w:next w:val="598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598"/>
    <w:next w:val="598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598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599"/>
    <w:link w:val="41"/>
    <w:uiPriority w:val="99"/>
  </w:style>
  <w:style w:type="paragraph" w:styleId="43">
    <w:name w:val="Footer"/>
    <w:basedOn w:val="598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599"/>
    <w:link w:val="43"/>
    <w:uiPriority w:val="99"/>
  </w:style>
  <w:style w:type="paragraph" w:styleId="45">
    <w:name w:val="Caption"/>
    <w:basedOn w:val="598"/>
    <w:next w:val="59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0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598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599"/>
    <w:uiPriority w:val="99"/>
    <w:unhideWhenUsed/>
    <w:rPr>
      <w:vertAlign w:val="superscript"/>
    </w:rPr>
  </w:style>
  <w:style w:type="paragraph" w:styleId="177">
    <w:name w:val="endnote text"/>
    <w:basedOn w:val="598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599"/>
    <w:uiPriority w:val="99"/>
    <w:semiHidden/>
    <w:unhideWhenUsed/>
    <w:rPr>
      <w:vertAlign w:val="superscript"/>
    </w:rPr>
  </w:style>
  <w:style w:type="paragraph" w:styleId="180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603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604">
    <w:name w:val="Balloon Text"/>
    <w:basedOn w:val="598"/>
    <w:link w:val="60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05" w:customStyle="1">
    <w:name w:val="Текст выноски Знак"/>
    <w:basedOn w:val="599"/>
    <w:link w:val="604"/>
    <w:uiPriority w:val="99"/>
    <w:semiHidden/>
    <w:rPr>
      <w:rFonts w:ascii="Segoe UI" w:hAnsi="Segoe UI" w:cs="Segoe UI"/>
      <w:sz w:val="18"/>
      <w:szCs w:val="18"/>
    </w:rPr>
  </w:style>
  <w:style w:type="paragraph" w:styleId="606">
    <w:name w:val="Title"/>
    <w:basedOn w:val="598"/>
    <w:link w:val="607"/>
    <w:qFormat/>
    <w:pPr>
      <w:jc w:val="center"/>
      <w:spacing w:after="0" w:line="240" w:lineRule="auto"/>
    </w:pPr>
    <w:rPr>
      <w:rFonts w:ascii="Times New Roman" w:hAnsi="Times New Roman" w:eastAsia="Times New Roman" w:cs="Times New Roman"/>
      <w:b/>
      <w:bCs/>
      <w:sz w:val="28"/>
      <w:szCs w:val="24"/>
      <w:lang w:eastAsia="ru-RU"/>
    </w:rPr>
  </w:style>
  <w:style w:type="character" w:styleId="607" w:customStyle="1">
    <w:name w:val="Заголовок Знак"/>
    <w:basedOn w:val="599"/>
    <w:link w:val="606"/>
    <w:rPr>
      <w:rFonts w:ascii="Times New Roman" w:hAnsi="Times New Roman" w:eastAsia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consultantplus://offline/ref=19C04FE5D1DC4E5E9D0689F71000DD382E6FAD73B3F2EB2F0FCC09C625B540B1F26D85FCFC6CA4ZBK" TargetMode="External"/><Relationship Id="rId10" Type="http://schemas.openxmlformats.org/officeDocument/2006/relationships/hyperlink" Target="consultantplus://offline/ref=19C04FE5D1DC4E5E9D0689F71000DD382E6FAD73B3F2EB2F0FCC09C625B540B1F26D85FEF06DA4ZEK" TargetMode="External"/><Relationship Id="rId11" Type="http://schemas.openxmlformats.org/officeDocument/2006/relationships/hyperlink" Target="consultantplus://offline/ref=D1AB6CE877BFACD6C5F09EEB099F8B65C1CFA6A70A5A5AC417280BF6A2123292141E5645CE51F2229A89ADAF4E3663G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D56A4-16AB-4F0A-A32A-908B8C7FF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Андрейцев Дмитрий Сергеевич</dc:creator>
  <cp:keywords/>
  <dc:description/>
  <cp:revision>31</cp:revision>
  <dcterms:created xsi:type="dcterms:W3CDTF">2020-11-26T05:46:00Z</dcterms:created>
  <dcterms:modified xsi:type="dcterms:W3CDTF">2023-12-24T12:56:29Z</dcterms:modified>
</cp:coreProperties>
</file>