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Times New Roman" w:ascii="Times New Roman" w:hAnsi="Times New Roman"/>
          <w:sz w:val="28"/>
          <w:szCs w:val="28"/>
        </w:rPr>
        <w:t>Приложение 1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Целевые показатели прогноза социально-экономического развития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Тогучинского района Новосибирской области 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на 2018 год и на период до 2020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5935" w:type="dxa"/>
        <w:jc w:val="left"/>
        <w:tblInd w:w="93" w:type="dxa"/>
        <w:tblCellMar>
          <w:top w:w="0" w:type="dxa"/>
          <w:left w:w="-5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3"/>
        <w:gridCol w:w="3065"/>
        <w:gridCol w:w="1411"/>
        <w:gridCol w:w="1291"/>
        <w:gridCol w:w="1294"/>
        <w:gridCol w:w="1209"/>
        <w:gridCol w:w="1243"/>
        <w:gridCol w:w="1156"/>
        <w:gridCol w:w="1"/>
        <w:gridCol w:w="1195"/>
        <w:gridCol w:w="1146"/>
        <w:gridCol w:w="3"/>
        <w:gridCol w:w="1251"/>
        <w:gridCol w:w="1206"/>
      </w:tblGrid>
      <w:tr>
        <w:trPr>
          <w:tblHeader w:val="true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1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Единица измерения</w:t>
            </w:r>
          </w:p>
        </w:tc>
        <w:tc>
          <w:tcPr>
            <w:tcW w:w="1291" w:type="dxa"/>
            <w:vMerge w:val="restart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2016</w:t>
            </w:r>
          </w:p>
        </w:tc>
        <w:tc>
          <w:tcPr>
            <w:tcW w:w="1209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оценка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2017</w:t>
            </w:r>
          </w:p>
        </w:tc>
        <w:tc>
          <w:tcPr>
            <w:tcW w:w="7201" w:type="dxa"/>
            <w:gridSpan w:val="8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Прогноз</w:t>
            </w:r>
          </w:p>
        </w:tc>
      </w:tr>
      <w:tr>
        <w:trPr>
          <w:tblHeader w:val="true"/>
        </w:trPr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vMerge w:val="continue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209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2400" w:type="dxa"/>
            <w:gridSpan w:val="3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2344" w:type="dxa"/>
            <w:gridSpan w:val="3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2457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2020</w:t>
            </w:r>
          </w:p>
        </w:tc>
      </w:tr>
      <w:tr>
        <w:trPr>
          <w:tblHeader w:val="true"/>
        </w:trPr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vMerge w:val="continue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вариант 1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вариант 2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вариант 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вариант 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вариант 1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вариант 2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Население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 xml:space="preserve">Численность населения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color w:val="000000"/>
                <w:sz w:val="24"/>
                <w:szCs w:val="24"/>
              </w:rPr>
              <w:t>района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57730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57051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56800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56800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56850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56870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56900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56900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57000</w:t>
            </w:r>
          </w:p>
        </w:tc>
      </w:tr>
      <w:tr>
        <w:trPr>
          <w:trHeight w:val="359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родившихся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743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740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740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Общий коэффициент</w:t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рождаемости                     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число родившихся на 1000 чел. населения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13,0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13,0</w:t>
            </w:r>
          </w:p>
        </w:tc>
      </w:tr>
      <w:tr>
        <w:trPr>
          <w:trHeight w:val="340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умерших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895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895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895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Общий коэффициент</w:t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смертности                               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число умерших на 1000 чел. населения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15,6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Коэффициент естественного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прироста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чел. на 1000 чел. населения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-1,84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-2,77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-2,99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-2,99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-2,81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-2,81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-2,55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-2,81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-2,54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Промышленность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деятельности, относящимися к промышленному производству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8045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8562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8915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9340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9405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9730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9951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10140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10548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106,0</w:t>
            </w:r>
          </w:p>
        </w:tc>
      </w:tr>
      <w:tr>
        <w:trPr>
          <w:trHeight w:val="353" w:hRule="atLeast"/>
        </w:trPr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Индекс промышленного производства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98,5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100,4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101,9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Сельское хозяйство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71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Объем производства продукции сельского хозяйства</w:t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3220,7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3295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3375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3392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3445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3468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3514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3552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Индекс производства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сельского хозяйства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83,7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99,3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99,4</w:t>
            </w:r>
          </w:p>
        </w:tc>
      </w:tr>
      <w:tr>
        <w:trPr>
          <w:trHeight w:val="447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Продукция растениеводства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1849,3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1348,7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1943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2005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2033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2049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2074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2097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72,9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144,1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</w:tr>
      <w:tr>
        <w:trPr>
          <w:trHeight w:val="465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Продукция животноводства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1213,7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1872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1352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1382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1387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1412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1419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1440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1455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154,2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102,6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102,5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left"/>
              <w:rPr/>
            </w:pPr>
            <w:r>
              <w:rPr>
                <w:sz w:val="24"/>
              </w:rPr>
              <w:t xml:space="preserve">Валовой сбор зерновых и зернобобовых культур во всех категориях хозяйств (бункерный вес)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180,1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169,0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174,6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175,0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180,2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</w:rPr>
              <w:t>181,0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186,3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</w:rPr>
              <w:t>187,0</w:t>
            </w:r>
          </w:p>
        </w:tc>
      </w:tr>
      <w:tr>
        <w:trPr>
          <w:trHeight w:val="330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Поголовье скота  (все категории хозяйств):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21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21"/>
              <w:spacing w:lineRule="auto" w:line="240" w:before="0" w:after="0"/>
              <w:rPr/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</w:rPr>
              <w:t>Х</w:t>
            </w:r>
          </w:p>
        </w:tc>
      </w:tr>
      <w:tr>
        <w:trPr>
          <w:trHeight w:val="370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- крупный рогатый скот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19,681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19,865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20,1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20,1</w:t>
            </w:r>
          </w:p>
        </w:tc>
      </w:tr>
      <w:tr>
        <w:trPr>
          <w:trHeight w:val="430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в том числе коровы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Indexhead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Indexhead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7,803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7,842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7,9</w:t>
            </w:r>
          </w:p>
        </w:tc>
      </w:tr>
      <w:tr>
        <w:trPr>
          <w:trHeight w:val="444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- свиньи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тыс. голов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Indexhead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Indexhead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10,731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11,3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 xml:space="preserve">Производство молока (все категории хозяйств)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тыс. тонн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  <w:szCs w:val="24"/>
              </w:rPr>
              <w:t>30,734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31,612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33,37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33,4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34,86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34,9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36,25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36,3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 xml:space="preserve">Производство мяса на убой в живом весе (все категории хозяйств) </w:t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тонн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Indexhead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5036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Indexhead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5313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5531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5746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5749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5919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5920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6067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6070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FF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Строительство,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транспорт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</w:rPr>
              <w:t>Объем выполненных работ по виду деятельности «строительство»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916,2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985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102,0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Индекс физического объема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96,1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96,4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Ввод в эксплуатацию за счет всех источников финан-сирования жилых домов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кв. м.</w:t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общей</w:t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13856,8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10234,5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11500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18611_1042075746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кв. м.</w:t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общей</w:t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площади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11342,8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9412,9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11250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11250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13800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Общая площадь жилых помещений, приходящаяся на 1 жителя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кв.м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20,9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21,6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Перевезено пассажиров автомобильным транс-портом общего пользования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тыс. 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1120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1130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b/>
                <w:sz w:val="24"/>
              </w:rPr>
              <w:t>Инвестиции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26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2300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2360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2450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2720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2750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2910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2850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3100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104,3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106,1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111,0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105,8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103,6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106,5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Индекс физического объема инвестиций в основной капитал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75,2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b/>
                <w:b/>
                <w:sz w:val="24"/>
              </w:rPr>
            </w:pPr>
            <w:r>
              <w:rPr>
                <w:b/>
                <w:sz w:val="24"/>
              </w:rPr>
              <w:t>Малое и среднее предпринимательство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Число малых предприятий, включая микропредприятия (на конец года)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Численность занятых на малых предприятиях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4620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4650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4655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4670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4675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4680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4685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4690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Численность индивидуальных предпринимателей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1165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1170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1170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1175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1175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1180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Торговля и услуги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населению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511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Оборот розничной</w:t>
            </w:r>
          </w:p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торговли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5570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5750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6010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6032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6335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6388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6690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6778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1405,7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106,1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93,5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100,1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101,9</w:t>
            </w:r>
          </w:p>
        </w:tc>
      </w:tr>
      <w:tr>
        <w:trPr>
          <w:trHeight w:val="416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Оборот общественного</w:t>
            </w:r>
          </w:p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245,4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255,7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278,0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278,5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290,8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292,1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304,5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307,0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104,8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104,6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104,7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105,1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Индекс физического объема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96,7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100,3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100,7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101,0</w:t>
            </w:r>
          </w:p>
        </w:tc>
      </w:tr>
      <w:tr>
        <w:trPr>
          <w:trHeight w:val="424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 xml:space="preserve">Объем платных </w:t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 xml:space="preserve">услуг населению 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715,7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776,5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875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950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955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1035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1050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1130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1157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108,5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112,0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108,5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109,1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108,9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109,9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109,4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110,2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Индекс физического объема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103,4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102,9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103,6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104,6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104,8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104,8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40" w:before="0" w:after="0"/>
              <w:jc w:val="center"/>
              <w:rPr>
                <w:lang w:val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105,4</w:t>
            </w:r>
          </w:p>
        </w:tc>
      </w:tr>
      <w:tr>
        <w:trPr>
          <w:trHeight w:val="425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Объем бытовых услуг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населению  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млн. руб.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185,9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199,5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213,7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215,5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228,5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232,9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245,2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252,0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108,9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107,3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108,2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Индекс физического объема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101,2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102,6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102,8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103,7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      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Труд, занятость,           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доходы населения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Численность занятых в экономике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24038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24030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24010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24010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24015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24015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24020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Численность трудовых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ресурсов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32778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31876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31880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31880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31890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31890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31895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318955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31900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Численность населения в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трудоспособном возрасте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32604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29522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29540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29540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29580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29580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29590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29590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29600</w:t>
            </w:r>
          </w:p>
        </w:tc>
      </w:tr>
      <w:tr>
        <w:trPr/>
        <w:tc>
          <w:tcPr>
            <w:tcW w:w="463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065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Уровень официально зарегистрированной безработицы</w:t>
            </w:r>
          </w:p>
        </w:tc>
        <w:tc>
          <w:tcPr>
            <w:tcW w:w="1411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%</w:t>
            </w:r>
          </w:p>
        </w:tc>
        <w:tc>
          <w:tcPr>
            <w:tcW w:w="1291" w:type="dxa"/>
            <w:tcBorders>
              <w:top w:val="nil"/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2,23</w:t>
            </w:r>
          </w:p>
        </w:tc>
        <w:tc>
          <w:tcPr>
            <w:tcW w:w="1294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09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1243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115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96" w:type="dxa"/>
            <w:gridSpan w:val="2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14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254" w:type="dxa"/>
            <w:gridSpan w:val="2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1206" w:type="dxa"/>
            <w:tcBorders>
              <w:top w:val="nil"/>
            </w:tcBorders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1,9</w:t>
            </w:r>
          </w:p>
        </w:tc>
      </w:tr>
      <w:tr>
        <w:trPr>
          <w:trHeight w:val="466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 xml:space="preserve">Общий фонд оплаты труда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3448,2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3505,2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3558,0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3622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3650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3695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3760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3787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3892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  <w:vAlign w:val="bottom"/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101,1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  <w:vAlign w:val="bottom"/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Среднесписочная численность работников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15090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15064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15065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15070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15080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15075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15090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15110</w:t>
            </w:r>
          </w:p>
        </w:tc>
      </w:tr>
      <w:tr>
        <w:trPr>
          <w:trHeight w:val="411" w:hRule="atLeast"/>
        </w:trPr>
        <w:tc>
          <w:tcPr>
            <w:tcW w:w="463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065" w:type="dxa"/>
            <w:vMerge w:val="restart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Среднемесячная заработная плата   1  работника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19045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19390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19680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20030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20170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20425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20764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20900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21463</w:t>
            </w:r>
          </w:p>
        </w:tc>
      </w:tr>
      <w:tr>
        <w:trPr/>
        <w:tc>
          <w:tcPr>
            <w:tcW w:w="463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vMerge w:val="continue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101,6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101,7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101,9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103,4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Среднемесячные   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доходы населения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13510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13870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14250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14650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14700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15100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15300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15900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Развитие социальной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сферы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Число детей, умерших в возрасте до 1 года, на 1000 родившихся живыми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7,57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7,69</w:t>
            </w:r>
          </w:p>
        </w:tc>
      </w:tr>
      <w:tr>
        <w:trPr>
          <w:trHeight w:val="879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Численность детей в дошкольных образова-тельных учреждениях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2582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2558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2605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2605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2582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2582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2593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2593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3"/>
                <w:szCs w:val="23"/>
              </w:rPr>
              <w:t>Доля детей в возрасте от трех до семи лет, получающих дошкольную образовательную услугу и (или) услугу по их содержанию в организациях различной организационно-правовой формы и формы собственности в общей численности детей от трех до семи лет.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67,2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65,4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60,1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61,0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3"/>
                <w:szCs w:val="23"/>
              </w:rPr>
              <w:t>Доля детей в возрасте 1 - 6 лет, получающих дош-кольную образовательную услугу и (или) услугу по их содержанию в муниципальных образова-тельных учреждениях в общей численности детей в возрасте 1 - 6 лет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55,3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52,5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7,67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7,67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Численность обучающихся в общеобразовательных учреждениях (без вечерних (сменных) общеобразовательных учреждениях (на начало учебного года)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6435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6684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6906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6800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6816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6816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6750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6750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Средняя наполняемость классов в общеобразовательных учреждениях – всего,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15,1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14,3</w:t>
            </w:r>
          </w:p>
        </w:tc>
      </w:tr>
      <w:tr>
        <w:trPr>
          <w:trHeight w:val="413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- в т.ч. в городских поселениях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22,7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22,4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  <w:t>- в сельских поселениях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sz w:val="24"/>
              </w:rPr>
              <w:t>чел.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11,7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10,5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Численность выпускников муниципальных общеобразовательных учреждений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265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Число детей,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  <w:p>
            <w:pPr>
              <w:pStyle w:val="1"/>
              <w:spacing w:lineRule="auto" w:line="240" w:before="0" w:after="0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</w:r>
          </w:p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827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891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650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Доля детей, охваченных дополнительным образованием (музыкаль-ным, художественным, спортивным и т.п.), в общем количестве детей до 18 лет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87,48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88,3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bookmarkStart w:id="1" w:name="_GoBack"/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bookmarkStart w:id="2" w:name="_GoBack1"/>
            <w:bookmarkEnd w:id="2"/>
            <w:r>
              <w:rPr>
                <w:rFonts w:cs="Times New Roman" w:ascii="Times New Roman" w:hAnsi="Times New Roman"/>
                <w:sz w:val="24"/>
                <w:szCs w:val="24"/>
              </w:rPr>
              <w:t>88,9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rPr/>
            </w:pPr>
            <w:r>
              <w:rPr>
                <w:sz w:val="24"/>
              </w:rPr>
              <w:t>Численность лиц, систематически занимающегося физической культурой и спортом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</w:rPr>
              <w:t>чел.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13253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14173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14800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15000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15100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15100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15500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16000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17000</w:t>
            </w:r>
          </w:p>
        </w:tc>
      </w:tr>
      <w:tr>
        <w:trPr>
          <w:trHeight w:val="353" w:hRule="atLeast"/>
        </w:trPr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Бюджет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Объем налоговых и неналоговых доходов консолидированного бюджета 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/>
            </w:pPr>
            <w:r>
              <w:rPr>
                <w:sz w:val="24"/>
              </w:rPr>
              <w:t>тыс.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306800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323125,1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294197,9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382305,6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382305,6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311715,0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311715,0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316941,4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316941,4</w:t>
            </w:r>
          </w:p>
        </w:tc>
      </w:tr>
      <w:tr>
        <w:trPr/>
        <w:tc>
          <w:tcPr>
            <w:tcW w:w="46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065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left"/>
              <w:rPr>
                <w:sz w:val="24"/>
              </w:rPr>
            </w:pPr>
            <w:r>
              <w:rPr>
                <w:sz w:val="24"/>
              </w:rPr>
              <w:t>Доходы от сдачи в аренду муниципального имущества и земли</w:t>
            </w:r>
          </w:p>
        </w:tc>
        <w:tc>
          <w:tcPr>
            <w:tcW w:w="1411" w:type="dxa"/>
            <w:tcBorders/>
            <w:shd w:fill="auto" w:val="clear"/>
            <w:tcMar>
              <w:left w:w="-5" w:type="dxa"/>
            </w:tcMar>
          </w:tcPr>
          <w:p>
            <w:pPr>
              <w:pStyle w:val="1"/>
              <w:spacing w:lineRule="auto" w:line="240" w:before="0" w:after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291" w:type="dxa"/>
            <w:tcBorders>
              <w:left w:val="nil"/>
              <w:right w:val="nil"/>
              <w:insideV w:val="nil"/>
            </w:tcBorders>
            <w:shd w:fill="auto" w:val="clear"/>
            <w:tcMar>
              <w:left w:w="1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27062,3</w:t>
            </w:r>
          </w:p>
        </w:tc>
        <w:tc>
          <w:tcPr>
            <w:tcW w:w="1294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22847,3</w:t>
            </w:r>
          </w:p>
        </w:tc>
        <w:tc>
          <w:tcPr>
            <w:tcW w:w="1209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22547,9</w:t>
            </w:r>
          </w:p>
        </w:tc>
        <w:tc>
          <w:tcPr>
            <w:tcW w:w="1243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22169,2</w:t>
            </w:r>
          </w:p>
        </w:tc>
        <w:tc>
          <w:tcPr>
            <w:tcW w:w="115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22169,2</w:t>
            </w:r>
          </w:p>
        </w:tc>
        <w:tc>
          <w:tcPr>
            <w:tcW w:w="1196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21386,6</w:t>
            </w:r>
          </w:p>
        </w:tc>
        <w:tc>
          <w:tcPr>
            <w:tcW w:w="114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21386,6</w:t>
            </w:r>
          </w:p>
        </w:tc>
        <w:tc>
          <w:tcPr>
            <w:tcW w:w="1254" w:type="dxa"/>
            <w:gridSpan w:val="2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21173,5</w:t>
            </w:r>
          </w:p>
        </w:tc>
        <w:tc>
          <w:tcPr>
            <w:tcW w:w="1206" w:type="dxa"/>
            <w:tcBorders/>
            <w:shd w:fill="auto" w:val="clear"/>
            <w:tcMar>
              <w:left w:w="-5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21173,5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sectPr>
      <w:type w:val="nextPage"/>
      <w:pgSz w:orient="landscape" w:w="16838" w:h="11906"/>
      <w:pgMar w:left="284" w:right="284" w:header="0" w:top="851" w:footer="0" w:bottom="85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102e8a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Обычный1"/>
    <w:qFormat/>
    <w:rsid w:val="00847e12"/>
    <w:pPr>
      <w:widowControl/>
      <w:bidi w:val="0"/>
      <w:spacing w:lineRule="auto" w:line="240" w:before="0" w:after="0"/>
      <w:jc w:val="both"/>
    </w:pPr>
    <w:rPr>
      <w:rFonts w:ascii="Times New Roman" w:hAnsi="Times New Roman" w:eastAsia="Times New Roman" w:cs="Times New Roman"/>
      <w:color w:val="00000A"/>
      <w:sz w:val="28"/>
      <w:szCs w:val="20"/>
      <w:lang w:val="ru-RU" w:eastAsia="ru-RU" w:bidi="ar-SA"/>
    </w:rPr>
  </w:style>
  <w:style w:type="paragraph" w:styleId="21" w:customStyle="1">
    <w:name w:val="Заголовок 21"/>
    <w:basedOn w:val="1"/>
    <w:qFormat/>
    <w:rsid w:val="001e1d38"/>
    <w:pPr>
      <w:keepNext/>
      <w:jc w:val="center"/>
      <w:outlineLvl w:val="1"/>
    </w:pPr>
    <w:rPr>
      <w:rFonts w:ascii="Arial" w:hAnsi="Arial"/>
      <w:sz w:val="24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102e8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0">
    <w:name w:val="Содержимое таблицы"/>
    <w:basedOn w:val="Normal"/>
    <w:qFormat/>
    <w:pPr/>
    <w:rPr/>
  </w:style>
  <w:style w:type="paragraph" w:styleId="Style21">
    <w:name w:val="Заголовок таблицы"/>
    <w:basedOn w:val="Style20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2">
    <w:name w:val="Footer"/>
    <w:basedOn w:val="Normal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f708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FC4B7-9AB0-47E8-AE93-6D8979CC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Application>LibreOffice/5.1.4.2$Windows_x86 LibreOffice_project/f99d75f39f1c57ebdd7ffc5f42867c12031db97a</Application>
  <Pages>8</Pages>
  <Words>1413</Words>
  <Characters>7452</Characters>
  <CharactersWithSpaces>8084</CharactersWithSpaces>
  <Paragraphs>893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2016-06-20T05:29:00Z</dcterms:created>
  <dc:creator>Motorova Elena</dc:creator>
  <dc:description/>
  <dc:language>ru-RU</dc:language>
  <cp:lastModifiedBy/>
  <cp:lastPrinted>2017-01-26T11:54:09Z</cp:lastPrinted>
  <dcterms:modified xsi:type="dcterms:W3CDTF">2017-11-10T09:13:13Z</dcterms:modified>
  <cp:revision>146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